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18920" w14:textId="77777777" w:rsidR="00466FC3" w:rsidRDefault="00466FC3">
      <w:pPr>
        <w:pStyle w:val="Inhaltsverzeichnisberschrift"/>
        <w:rPr>
          <w:rFonts w:asciiTheme="majorHAnsi" w:eastAsia="Times New Roman" w:hAnsiTheme="majorHAnsi"/>
          <w:bCs w:val="0"/>
          <w:color w:val="auto"/>
          <w:sz w:val="22"/>
          <w:szCs w:val="22"/>
          <w:lang w:eastAsia="en-US"/>
        </w:rPr>
      </w:pPr>
      <w:r>
        <w:rPr>
          <w:rFonts w:asciiTheme="majorHAnsi" w:eastAsia="Times New Roman" w:hAnsiTheme="majorHAnsi"/>
          <w:b/>
          <w:bCs w:val="0"/>
          <w:color w:val="auto"/>
          <w:sz w:val="22"/>
          <w:szCs w:val="22"/>
          <w:lang w:eastAsia="en-US"/>
        </w:rPr>
        <w:t>Screenreader-</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14:paraId="4F1641B4" w14:textId="77777777" w:rsidR="00D3742D" w:rsidRDefault="00D3742D">
          <w:pPr>
            <w:pStyle w:val="Inhaltsverzeichnisberschrift"/>
          </w:pPr>
          <w:r>
            <w:t>Inhaltsverzeichnis</w:t>
          </w:r>
        </w:p>
        <w:p w14:paraId="23E36F42" w14:textId="77777777" w:rsidR="000C11B8"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hyperlink w:anchor="_Toc239062664" w:history="1">
            <w:r w:rsidR="000C11B8" w:rsidRPr="0098227C">
              <w:rPr>
                <w:rStyle w:val="Hyperlink"/>
                <w:noProof/>
              </w:rPr>
              <w:t>Renteneintrittsalter darf nicht steigen</w:t>
            </w:r>
            <w:r w:rsidR="000C11B8">
              <w:rPr>
                <w:noProof/>
                <w:webHidden/>
              </w:rPr>
              <w:tab/>
            </w:r>
            <w:r w:rsidR="000C11B8">
              <w:rPr>
                <w:noProof/>
                <w:webHidden/>
              </w:rPr>
              <w:fldChar w:fldCharType="begin"/>
            </w:r>
            <w:r w:rsidR="000C11B8">
              <w:rPr>
                <w:noProof/>
                <w:webHidden/>
              </w:rPr>
              <w:instrText xml:space="preserve"> PAGEREF _Toc239062664 \h </w:instrText>
            </w:r>
            <w:r w:rsidR="000C11B8">
              <w:rPr>
                <w:noProof/>
                <w:webHidden/>
              </w:rPr>
            </w:r>
            <w:r w:rsidR="000C11B8">
              <w:rPr>
                <w:noProof/>
                <w:webHidden/>
              </w:rPr>
              <w:fldChar w:fldCharType="separate"/>
            </w:r>
            <w:r w:rsidR="000C11B8">
              <w:rPr>
                <w:noProof/>
                <w:webHidden/>
              </w:rPr>
              <w:t>2</w:t>
            </w:r>
            <w:r w:rsidR="000C11B8">
              <w:rPr>
                <w:noProof/>
                <w:webHidden/>
              </w:rPr>
              <w:fldChar w:fldCharType="end"/>
            </w:r>
          </w:hyperlink>
        </w:p>
        <w:p w14:paraId="672FFAC9"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65" w:history="1">
            <w:r w:rsidR="000C11B8" w:rsidRPr="0098227C">
              <w:rPr>
                <w:rStyle w:val="Hyperlink"/>
                <w:noProof/>
              </w:rPr>
              <w:t>VdK fordert sozial gerechten Hitzeschutz</w:t>
            </w:r>
            <w:r w:rsidR="000C11B8">
              <w:rPr>
                <w:noProof/>
                <w:webHidden/>
              </w:rPr>
              <w:tab/>
            </w:r>
            <w:r w:rsidR="000C11B8">
              <w:rPr>
                <w:noProof/>
                <w:webHidden/>
              </w:rPr>
              <w:fldChar w:fldCharType="begin"/>
            </w:r>
            <w:r w:rsidR="000C11B8">
              <w:rPr>
                <w:noProof/>
                <w:webHidden/>
              </w:rPr>
              <w:instrText xml:space="preserve"> PAGEREF _Toc239062665 \h </w:instrText>
            </w:r>
            <w:r w:rsidR="000C11B8">
              <w:rPr>
                <w:noProof/>
                <w:webHidden/>
              </w:rPr>
            </w:r>
            <w:r w:rsidR="000C11B8">
              <w:rPr>
                <w:noProof/>
                <w:webHidden/>
              </w:rPr>
              <w:fldChar w:fldCharType="separate"/>
            </w:r>
            <w:r w:rsidR="000C11B8">
              <w:rPr>
                <w:noProof/>
                <w:webHidden/>
              </w:rPr>
              <w:t>3</w:t>
            </w:r>
            <w:r w:rsidR="000C11B8">
              <w:rPr>
                <w:noProof/>
                <w:webHidden/>
              </w:rPr>
              <w:fldChar w:fldCharType="end"/>
            </w:r>
          </w:hyperlink>
        </w:p>
        <w:p w14:paraId="36B4D99F"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66" w:history="1">
            <w:r w:rsidR="000C11B8" w:rsidRPr="0098227C">
              <w:rPr>
                <w:rStyle w:val="Hyperlink"/>
                <w:noProof/>
              </w:rPr>
              <w:t>Angst, die Wohnung zu verlieren</w:t>
            </w:r>
            <w:r w:rsidR="000C11B8">
              <w:rPr>
                <w:noProof/>
                <w:webHidden/>
              </w:rPr>
              <w:tab/>
            </w:r>
            <w:r w:rsidR="000C11B8">
              <w:rPr>
                <w:noProof/>
                <w:webHidden/>
              </w:rPr>
              <w:fldChar w:fldCharType="begin"/>
            </w:r>
            <w:r w:rsidR="000C11B8">
              <w:rPr>
                <w:noProof/>
                <w:webHidden/>
              </w:rPr>
              <w:instrText xml:space="preserve"> PAGEREF _Toc239062666 \h </w:instrText>
            </w:r>
            <w:r w:rsidR="000C11B8">
              <w:rPr>
                <w:noProof/>
                <w:webHidden/>
              </w:rPr>
            </w:r>
            <w:r w:rsidR="000C11B8">
              <w:rPr>
                <w:noProof/>
                <w:webHidden/>
              </w:rPr>
              <w:fldChar w:fldCharType="separate"/>
            </w:r>
            <w:r w:rsidR="000C11B8">
              <w:rPr>
                <w:noProof/>
                <w:webHidden/>
              </w:rPr>
              <w:t>4</w:t>
            </w:r>
            <w:r w:rsidR="000C11B8">
              <w:rPr>
                <w:noProof/>
                <w:webHidden/>
              </w:rPr>
              <w:fldChar w:fldCharType="end"/>
            </w:r>
          </w:hyperlink>
        </w:p>
        <w:p w14:paraId="530D721E"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67" w:history="1">
            <w:r w:rsidR="000C11B8" w:rsidRPr="0098227C">
              <w:rPr>
                <w:rStyle w:val="Hyperlink"/>
                <w:noProof/>
              </w:rPr>
              <w:t>Fachlicher Austausch in Berlin</w:t>
            </w:r>
            <w:r w:rsidR="000C11B8">
              <w:rPr>
                <w:noProof/>
                <w:webHidden/>
              </w:rPr>
              <w:tab/>
            </w:r>
            <w:r w:rsidR="000C11B8">
              <w:rPr>
                <w:noProof/>
                <w:webHidden/>
              </w:rPr>
              <w:fldChar w:fldCharType="begin"/>
            </w:r>
            <w:r w:rsidR="000C11B8">
              <w:rPr>
                <w:noProof/>
                <w:webHidden/>
              </w:rPr>
              <w:instrText xml:space="preserve"> PAGEREF _Toc239062667 \h </w:instrText>
            </w:r>
            <w:r w:rsidR="000C11B8">
              <w:rPr>
                <w:noProof/>
                <w:webHidden/>
              </w:rPr>
            </w:r>
            <w:r w:rsidR="000C11B8">
              <w:rPr>
                <w:noProof/>
                <w:webHidden/>
              </w:rPr>
              <w:fldChar w:fldCharType="separate"/>
            </w:r>
            <w:r w:rsidR="000C11B8">
              <w:rPr>
                <w:noProof/>
                <w:webHidden/>
              </w:rPr>
              <w:t>5</w:t>
            </w:r>
            <w:r w:rsidR="000C11B8">
              <w:rPr>
                <w:noProof/>
                <w:webHidden/>
              </w:rPr>
              <w:fldChar w:fldCharType="end"/>
            </w:r>
          </w:hyperlink>
        </w:p>
        <w:p w14:paraId="45DFBC12"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68" w:history="1">
            <w:r w:rsidR="000C11B8" w:rsidRPr="0098227C">
              <w:rPr>
                <w:rStyle w:val="Hyperlink"/>
                <w:noProof/>
              </w:rPr>
              <w:t>Künftig acht Ausgaben im Jahr</w:t>
            </w:r>
            <w:r w:rsidR="000C11B8">
              <w:rPr>
                <w:noProof/>
                <w:webHidden/>
              </w:rPr>
              <w:tab/>
            </w:r>
            <w:r w:rsidR="000C11B8">
              <w:rPr>
                <w:noProof/>
                <w:webHidden/>
              </w:rPr>
              <w:fldChar w:fldCharType="begin"/>
            </w:r>
            <w:r w:rsidR="000C11B8">
              <w:rPr>
                <w:noProof/>
                <w:webHidden/>
              </w:rPr>
              <w:instrText xml:space="preserve"> PAGEREF _Toc239062668 \h </w:instrText>
            </w:r>
            <w:r w:rsidR="000C11B8">
              <w:rPr>
                <w:noProof/>
                <w:webHidden/>
              </w:rPr>
            </w:r>
            <w:r w:rsidR="000C11B8">
              <w:rPr>
                <w:noProof/>
                <w:webHidden/>
              </w:rPr>
              <w:fldChar w:fldCharType="separate"/>
            </w:r>
            <w:r w:rsidR="000C11B8">
              <w:rPr>
                <w:noProof/>
                <w:webHidden/>
              </w:rPr>
              <w:t>6</w:t>
            </w:r>
            <w:r w:rsidR="000C11B8">
              <w:rPr>
                <w:noProof/>
                <w:webHidden/>
              </w:rPr>
              <w:fldChar w:fldCharType="end"/>
            </w:r>
          </w:hyperlink>
        </w:p>
        <w:p w14:paraId="333EC9D8"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69" w:history="1">
            <w:r w:rsidR="000C11B8" w:rsidRPr="0098227C">
              <w:rPr>
                <w:rStyle w:val="Hyperlink"/>
                <w:noProof/>
              </w:rPr>
              <w:t>Aktionen für einen starken Sozialstaat</w:t>
            </w:r>
            <w:r w:rsidR="000C11B8">
              <w:rPr>
                <w:noProof/>
                <w:webHidden/>
              </w:rPr>
              <w:tab/>
            </w:r>
            <w:r w:rsidR="000C11B8">
              <w:rPr>
                <w:noProof/>
                <w:webHidden/>
              </w:rPr>
              <w:fldChar w:fldCharType="begin"/>
            </w:r>
            <w:r w:rsidR="000C11B8">
              <w:rPr>
                <w:noProof/>
                <w:webHidden/>
              </w:rPr>
              <w:instrText xml:space="preserve"> PAGEREF _Toc239062669 \h </w:instrText>
            </w:r>
            <w:r w:rsidR="000C11B8">
              <w:rPr>
                <w:noProof/>
                <w:webHidden/>
              </w:rPr>
            </w:r>
            <w:r w:rsidR="000C11B8">
              <w:rPr>
                <w:noProof/>
                <w:webHidden/>
              </w:rPr>
              <w:fldChar w:fldCharType="separate"/>
            </w:r>
            <w:r w:rsidR="000C11B8">
              <w:rPr>
                <w:noProof/>
                <w:webHidden/>
              </w:rPr>
              <w:t>6</w:t>
            </w:r>
            <w:r w:rsidR="000C11B8">
              <w:rPr>
                <w:noProof/>
                <w:webHidden/>
              </w:rPr>
              <w:fldChar w:fldCharType="end"/>
            </w:r>
          </w:hyperlink>
        </w:p>
        <w:p w14:paraId="0AD22C01"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0" w:history="1">
            <w:r w:rsidR="000C11B8" w:rsidRPr="0098227C">
              <w:rPr>
                <w:rStyle w:val="Hyperlink"/>
                <w:noProof/>
              </w:rPr>
              <w:t>Skandalöse Investitionen</w:t>
            </w:r>
            <w:r w:rsidR="000C11B8">
              <w:rPr>
                <w:noProof/>
                <w:webHidden/>
              </w:rPr>
              <w:tab/>
            </w:r>
            <w:r w:rsidR="000C11B8">
              <w:rPr>
                <w:noProof/>
                <w:webHidden/>
              </w:rPr>
              <w:fldChar w:fldCharType="begin"/>
            </w:r>
            <w:r w:rsidR="000C11B8">
              <w:rPr>
                <w:noProof/>
                <w:webHidden/>
              </w:rPr>
              <w:instrText xml:space="preserve"> PAGEREF _Toc239062670 \h </w:instrText>
            </w:r>
            <w:r w:rsidR="000C11B8">
              <w:rPr>
                <w:noProof/>
                <w:webHidden/>
              </w:rPr>
            </w:r>
            <w:r w:rsidR="000C11B8">
              <w:rPr>
                <w:noProof/>
                <w:webHidden/>
              </w:rPr>
              <w:fldChar w:fldCharType="separate"/>
            </w:r>
            <w:r w:rsidR="000C11B8">
              <w:rPr>
                <w:noProof/>
                <w:webHidden/>
              </w:rPr>
              <w:t>7</w:t>
            </w:r>
            <w:r w:rsidR="000C11B8">
              <w:rPr>
                <w:noProof/>
                <w:webHidden/>
              </w:rPr>
              <w:fldChar w:fldCharType="end"/>
            </w:r>
          </w:hyperlink>
        </w:p>
        <w:p w14:paraId="3BEECF3F"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1" w:history="1">
            <w:r w:rsidR="000C11B8" w:rsidRPr="0098227C">
              <w:rPr>
                <w:rStyle w:val="Hyperlink"/>
                <w:noProof/>
              </w:rPr>
              <w:t>Bessere Unterstützung für Opfer von Gewalttaten</w:t>
            </w:r>
            <w:r w:rsidR="000C11B8">
              <w:rPr>
                <w:noProof/>
                <w:webHidden/>
              </w:rPr>
              <w:tab/>
            </w:r>
            <w:r w:rsidR="000C11B8">
              <w:rPr>
                <w:noProof/>
                <w:webHidden/>
              </w:rPr>
              <w:fldChar w:fldCharType="begin"/>
            </w:r>
            <w:r w:rsidR="000C11B8">
              <w:rPr>
                <w:noProof/>
                <w:webHidden/>
              </w:rPr>
              <w:instrText xml:space="preserve"> PAGEREF _Toc239062671 \h </w:instrText>
            </w:r>
            <w:r w:rsidR="000C11B8">
              <w:rPr>
                <w:noProof/>
                <w:webHidden/>
              </w:rPr>
            </w:r>
            <w:r w:rsidR="000C11B8">
              <w:rPr>
                <w:noProof/>
                <w:webHidden/>
              </w:rPr>
              <w:fldChar w:fldCharType="separate"/>
            </w:r>
            <w:r w:rsidR="000C11B8">
              <w:rPr>
                <w:noProof/>
                <w:webHidden/>
              </w:rPr>
              <w:t>8</w:t>
            </w:r>
            <w:r w:rsidR="000C11B8">
              <w:rPr>
                <w:noProof/>
                <w:webHidden/>
              </w:rPr>
              <w:fldChar w:fldCharType="end"/>
            </w:r>
          </w:hyperlink>
        </w:p>
        <w:p w14:paraId="53917628"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2" w:history="1">
            <w:r w:rsidR="000C11B8" w:rsidRPr="0098227C">
              <w:rPr>
                <w:rStyle w:val="Hyperlink"/>
                <w:noProof/>
              </w:rPr>
              <w:t>Eine Rentenreform geht gerechter</w:t>
            </w:r>
            <w:r w:rsidR="000C11B8">
              <w:rPr>
                <w:noProof/>
                <w:webHidden/>
              </w:rPr>
              <w:tab/>
            </w:r>
            <w:r w:rsidR="000C11B8">
              <w:rPr>
                <w:noProof/>
                <w:webHidden/>
              </w:rPr>
              <w:fldChar w:fldCharType="begin"/>
            </w:r>
            <w:r w:rsidR="000C11B8">
              <w:rPr>
                <w:noProof/>
                <w:webHidden/>
              </w:rPr>
              <w:instrText xml:space="preserve"> PAGEREF _Toc239062672 \h </w:instrText>
            </w:r>
            <w:r w:rsidR="000C11B8">
              <w:rPr>
                <w:noProof/>
                <w:webHidden/>
              </w:rPr>
            </w:r>
            <w:r w:rsidR="000C11B8">
              <w:rPr>
                <w:noProof/>
                <w:webHidden/>
              </w:rPr>
              <w:fldChar w:fldCharType="separate"/>
            </w:r>
            <w:r w:rsidR="000C11B8">
              <w:rPr>
                <w:noProof/>
                <w:webHidden/>
              </w:rPr>
              <w:t>11</w:t>
            </w:r>
            <w:r w:rsidR="000C11B8">
              <w:rPr>
                <w:noProof/>
                <w:webHidden/>
              </w:rPr>
              <w:fldChar w:fldCharType="end"/>
            </w:r>
          </w:hyperlink>
        </w:p>
        <w:p w14:paraId="0E6EC74F"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3" w:history="1">
            <w:r w:rsidR="000C11B8" w:rsidRPr="0098227C">
              <w:rPr>
                <w:rStyle w:val="Hyperlink"/>
                <w:noProof/>
              </w:rPr>
              <w:t>Angehörige nicht stärker belasten</w:t>
            </w:r>
            <w:r w:rsidR="000C11B8">
              <w:rPr>
                <w:noProof/>
                <w:webHidden/>
              </w:rPr>
              <w:tab/>
            </w:r>
            <w:r w:rsidR="000C11B8">
              <w:rPr>
                <w:noProof/>
                <w:webHidden/>
              </w:rPr>
              <w:fldChar w:fldCharType="begin"/>
            </w:r>
            <w:r w:rsidR="000C11B8">
              <w:rPr>
                <w:noProof/>
                <w:webHidden/>
              </w:rPr>
              <w:instrText xml:space="preserve"> PAGEREF _Toc239062673 \h </w:instrText>
            </w:r>
            <w:r w:rsidR="000C11B8">
              <w:rPr>
                <w:noProof/>
                <w:webHidden/>
              </w:rPr>
            </w:r>
            <w:r w:rsidR="000C11B8">
              <w:rPr>
                <w:noProof/>
                <w:webHidden/>
              </w:rPr>
              <w:fldChar w:fldCharType="separate"/>
            </w:r>
            <w:r w:rsidR="000C11B8">
              <w:rPr>
                <w:noProof/>
                <w:webHidden/>
              </w:rPr>
              <w:t>12</w:t>
            </w:r>
            <w:r w:rsidR="000C11B8">
              <w:rPr>
                <w:noProof/>
                <w:webHidden/>
              </w:rPr>
              <w:fldChar w:fldCharType="end"/>
            </w:r>
          </w:hyperlink>
        </w:p>
        <w:p w14:paraId="4AE0CEF5"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4" w:history="1">
            <w:r w:rsidR="000C11B8" w:rsidRPr="0098227C">
              <w:rPr>
                <w:rStyle w:val="Hyperlink"/>
                <w:noProof/>
              </w:rPr>
              <w:t>Drastische Kürzungen auf Kosten der Teilhabe</w:t>
            </w:r>
            <w:r w:rsidR="000C11B8">
              <w:rPr>
                <w:noProof/>
                <w:webHidden/>
              </w:rPr>
              <w:tab/>
            </w:r>
            <w:r w:rsidR="000C11B8">
              <w:rPr>
                <w:noProof/>
                <w:webHidden/>
              </w:rPr>
              <w:fldChar w:fldCharType="begin"/>
            </w:r>
            <w:r w:rsidR="000C11B8">
              <w:rPr>
                <w:noProof/>
                <w:webHidden/>
              </w:rPr>
              <w:instrText xml:space="preserve"> PAGEREF _Toc239062674 \h </w:instrText>
            </w:r>
            <w:r w:rsidR="000C11B8">
              <w:rPr>
                <w:noProof/>
                <w:webHidden/>
              </w:rPr>
            </w:r>
            <w:r w:rsidR="000C11B8">
              <w:rPr>
                <w:noProof/>
                <w:webHidden/>
              </w:rPr>
              <w:fldChar w:fldCharType="separate"/>
            </w:r>
            <w:r w:rsidR="000C11B8">
              <w:rPr>
                <w:noProof/>
                <w:webHidden/>
              </w:rPr>
              <w:t>13</w:t>
            </w:r>
            <w:r w:rsidR="000C11B8">
              <w:rPr>
                <w:noProof/>
                <w:webHidden/>
              </w:rPr>
              <w:fldChar w:fldCharType="end"/>
            </w:r>
          </w:hyperlink>
        </w:p>
        <w:p w14:paraId="2D705BC1"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5" w:history="1">
            <w:r w:rsidR="000C11B8" w:rsidRPr="0098227C">
              <w:rPr>
                <w:rStyle w:val="Hyperlink"/>
                <w:noProof/>
              </w:rPr>
              <w:t>Hartnäckig ans Ziel gekommen</w:t>
            </w:r>
            <w:r w:rsidR="000C11B8">
              <w:rPr>
                <w:noProof/>
                <w:webHidden/>
              </w:rPr>
              <w:tab/>
            </w:r>
            <w:r w:rsidR="000C11B8">
              <w:rPr>
                <w:noProof/>
                <w:webHidden/>
              </w:rPr>
              <w:fldChar w:fldCharType="begin"/>
            </w:r>
            <w:r w:rsidR="000C11B8">
              <w:rPr>
                <w:noProof/>
                <w:webHidden/>
              </w:rPr>
              <w:instrText xml:space="preserve"> PAGEREF _Toc239062675 \h </w:instrText>
            </w:r>
            <w:r w:rsidR="000C11B8">
              <w:rPr>
                <w:noProof/>
                <w:webHidden/>
              </w:rPr>
            </w:r>
            <w:r w:rsidR="000C11B8">
              <w:rPr>
                <w:noProof/>
                <w:webHidden/>
              </w:rPr>
              <w:fldChar w:fldCharType="separate"/>
            </w:r>
            <w:r w:rsidR="000C11B8">
              <w:rPr>
                <w:noProof/>
                <w:webHidden/>
              </w:rPr>
              <w:t>14</w:t>
            </w:r>
            <w:r w:rsidR="000C11B8">
              <w:rPr>
                <w:noProof/>
                <w:webHidden/>
              </w:rPr>
              <w:fldChar w:fldCharType="end"/>
            </w:r>
          </w:hyperlink>
        </w:p>
        <w:p w14:paraId="4A7CD148"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6" w:history="1">
            <w:r w:rsidR="000C11B8" w:rsidRPr="0098227C">
              <w:rPr>
                <w:rStyle w:val="Hyperlink"/>
                <w:noProof/>
              </w:rPr>
              <w:t>Erfolg für Mitglied mit fetalem Alkoholsyndrom</w:t>
            </w:r>
            <w:r w:rsidR="000C11B8">
              <w:rPr>
                <w:noProof/>
                <w:webHidden/>
              </w:rPr>
              <w:tab/>
            </w:r>
            <w:r w:rsidR="000C11B8">
              <w:rPr>
                <w:noProof/>
                <w:webHidden/>
              </w:rPr>
              <w:fldChar w:fldCharType="begin"/>
            </w:r>
            <w:r w:rsidR="000C11B8">
              <w:rPr>
                <w:noProof/>
                <w:webHidden/>
              </w:rPr>
              <w:instrText xml:space="preserve"> PAGEREF _Toc239062676 \h </w:instrText>
            </w:r>
            <w:r w:rsidR="000C11B8">
              <w:rPr>
                <w:noProof/>
                <w:webHidden/>
              </w:rPr>
            </w:r>
            <w:r w:rsidR="000C11B8">
              <w:rPr>
                <w:noProof/>
                <w:webHidden/>
              </w:rPr>
              <w:fldChar w:fldCharType="separate"/>
            </w:r>
            <w:r w:rsidR="000C11B8">
              <w:rPr>
                <w:noProof/>
                <w:webHidden/>
              </w:rPr>
              <w:t>15</w:t>
            </w:r>
            <w:r w:rsidR="000C11B8">
              <w:rPr>
                <w:noProof/>
                <w:webHidden/>
              </w:rPr>
              <w:fldChar w:fldCharType="end"/>
            </w:r>
          </w:hyperlink>
        </w:p>
        <w:p w14:paraId="31758CA7"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7" w:history="1">
            <w:r w:rsidR="000C11B8" w:rsidRPr="0098227C">
              <w:rPr>
                <w:rStyle w:val="Hyperlink"/>
                <w:noProof/>
              </w:rPr>
              <w:t>VdK rät: Bei Bedarf jetzt einen Pflegeantrag stellen</w:t>
            </w:r>
            <w:r w:rsidR="000C11B8">
              <w:rPr>
                <w:noProof/>
                <w:webHidden/>
              </w:rPr>
              <w:tab/>
            </w:r>
            <w:r w:rsidR="000C11B8">
              <w:rPr>
                <w:noProof/>
                <w:webHidden/>
              </w:rPr>
              <w:fldChar w:fldCharType="begin"/>
            </w:r>
            <w:r w:rsidR="000C11B8">
              <w:rPr>
                <w:noProof/>
                <w:webHidden/>
              </w:rPr>
              <w:instrText xml:space="preserve"> PAGEREF _Toc239062677 \h </w:instrText>
            </w:r>
            <w:r w:rsidR="000C11B8">
              <w:rPr>
                <w:noProof/>
                <w:webHidden/>
              </w:rPr>
            </w:r>
            <w:r w:rsidR="000C11B8">
              <w:rPr>
                <w:noProof/>
                <w:webHidden/>
              </w:rPr>
              <w:fldChar w:fldCharType="separate"/>
            </w:r>
            <w:r w:rsidR="000C11B8">
              <w:rPr>
                <w:noProof/>
                <w:webHidden/>
              </w:rPr>
              <w:t>17</w:t>
            </w:r>
            <w:r w:rsidR="000C11B8">
              <w:rPr>
                <w:noProof/>
                <w:webHidden/>
              </w:rPr>
              <w:fldChar w:fldCharType="end"/>
            </w:r>
          </w:hyperlink>
        </w:p>
        <w:p w14:paraId="05A19FD0"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8" w:history="1">
            <w:r w:rsidR="000C11B8" w:rsidRPr="0098227C">
              <w:rPr>
                <w:rStyle w:val="Hyperlink"/>
                <w:noProof/>
              </w:rPr>
              <w:t>Was sich für die Krankenversicherten ändert</w:t>
            </w:r>
            <w:r w:rsidR="000C11B8">
              <w:rPr>
                <w:noProof/>
                <w:webHidden/>
              </w:rPr>
              <w:tab/>
            </w:r>
            <w:r w:rsidR="000C11B8">
              <w:rPr>
                <w:noProof/>
                <w:webHidden/>
              </w:rPr>
              <w:fldChar w:fldCharType="begin"/>
            </w:r>
            <w:r w:rsidR="000C11B8">
              <w:rPr>
                <w:noProof/>
                <w:webHidden/>
              </w:rPr>
              <w:instrText xml:space="preserve"> PAGEREF _Toc239062678 \h </w:instrText>
            </w:r>
            <w:r w:rsidR="000C11B8">
              <w:rPr>
                <w:noProof/>
                <w:webHidden/>
              </w:rPr>
            </w:r>
            <w:r w:rsidR="000C11B8">
              <w:rPr>
                <w:noProof/>
                <w:webHidden/>
              </w:rPr>
              <w:fldChar w:fldCharType="separate"/>
            </w:r>
            <w:r w:rsidR="000C11B8">
              <w:rPr>
                <w:noProof/>
                <w:webHidden/>
              </w:rPr>
              <w:t>18</w:t>
            </w:r>
            <w:r w:rsidR="000C11B8">
              <w:rPr>
                <w:noProof/>
                <w:webHidden/>
              </w:rPr>
              <w:fldChar w:fldCharType="end"/>
            </w:r>
          </w:hyperlink>
        </w:p>
        <w:p w14:paraId="247CAA6F"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79" w:history="1">
            <w:r w:rsidR="000C11B8" w:rsidRPr="0098227C">
              <w:rPr>
                <w:rStyle w:val="Hyperlink"/>
                <w:noProof/>
              </w:rPr>
              <w:t>Vorzeitig in den Ruhestand</w:t>
            </w:r>
            <w:r w:rsidR="000C11B8">
              <w:rPr>
                <w:noProof/>
                <w:webHidden/>
              </w:rPr>
              <w:tab/>
            </w:r>
            <w:r w:rsidR="000C11B8">
              <w:rPr>
                <w:noProof/>
                <w:webHidden/>
              </w:rPr>
              <w:fldChar w:fldCharType="begin"/>
            </w:r>
            <w:r w:rsidR="000C11B8">
              <w:rPr>
                <w:noProof/>
                <w:webHidden/>
              </w:rPr>
              <w:instrText xml:space="preserve"> PAGEREF _Toc239062679 \h </w:instrText>
            </w:r>
            <w:r w:rsidR="000C11B8">
              <w:rPr>
                <w:noProof/>
                <w:webHidden/>
              </w:rPr>
            </w:r>
            <w:r w:rsidR="000C11B8">
              <w:rPr>
                <w:noProof/>
                <w:webHidden/>
              </w:rPr>
              <w:fldChar w:fldCharType="separate"/>
            </w:r>
            <w:r w:rsidR="000C11B8">
              <w:rPr>
                <w:noProof/>
                <w:webHidden/>
              </w:rPr>
              <w:t>20</w:t>
            </w:r>
            <w:r w:rsidR="000C11B8">
              <w:rPr>
                <w:noProof/>
                <w:webHidden/>
              </w:rPr>
              <w:fldChar w:fldCharType="end"/>
            </w:r>
          </w:hyperlink>
        </w:p>
        <w:p w14:paraId="5DA31CD2"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0" w:history="1">
            <w:r w:rsidR="000C11B8" w:rsidRPr="0098227C">
              <w:rPr>
                <w:rStyle w:val="Hyperlink"/>
                <w:noProof/>
              </w:rPr>
              <w:t>Mehr Gesundheitsleistungen vor Ort</w:t>
            </w:r>
            <w:r w:rsidR="000C11B8">
              <w:rPr>
                <w:noProof/>
                <w:webHidden/>
              </w:rPr>
              <w:tab/>
            </w:r>
            <w:r w:rsidR="000C11B8">
              <w:rPr>
                <w:noProof/>
                <w:webHidden/>
              </w:rPr>
              <w:fldChar w:fldCharType="begin"/>
            </w:r>
            <w:r w:rsidR="000C11B8">
              <w:rPr>
                <w:noProof/>
                <w:webHidden/>
              </w:rPr>
              <w:instrText xml:space="preserve"> PAGEREF _Toc239062680 \h </w:instrText>
            </w:r>
            <w:r w:rsidR="000C11B8">
              <w:rPr>
                <w:noProof/>
                <w:webHidden/>
              </w:rPr>
            </w:r>
            <w:r w:rsidR="000C11B8">
              <w:rPr>
                <w:noProof/>
                <w:webHidden/>
              </w:rPr>
              <w:fldChar w:fldCharType="separate"/>
            </w:r>
            <w:r w:rsidR="000C11B8">
              <w:rPr>
                <w:noProof/>
                <w:webHidden/>
              </w:rPr>
              <w:t>21</w:t>
            </w:r>
            <w:r w:rsidR="000C11B8">
              <w:rPr>
                <w:noProof/>
                <w:webHidden/>
              </w:rPr>
              <w:fldChar w:fldCharType="end"/>
            </w:r>
          </w:hyperlink>
        </w:p>
        <w:p w14:paraId="55957C7B"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1" w:history="1">
            <w:r w:rsidR="000C11B8" w:rsidRPr="0098227C">
              <w:rPr>
                <w:rStyle w:val="Hyperlink"/>
                <w:noProof/>
              </w:rPr>
              <w:t>Apotheke hilft beim digitalen Arztbesuch</w:t>
            </w:r>
            <w:r w:rsidR="000C11B8">
              <w:rPr>
                <w:noProof/>
                <w:webHidden/>
              </w:rPr>
              <w:tab/>
            </w:r>
            <w:r w:rsidR="000C11B8">
              <w:rPr>
                <w:noProof/>
                <w:webHidden/>
              </w:rPr>
              <w:fldChar w:fldCharType="begin"/>
            </w:r>
            <w:r w:rsidR="000C11B8">
              <w:rPr>
                <w:noProof/>
                <w:webHidden/>
              </w:rPr>
              <w:instrText xml:space="preserve"> PAGEREF _Toc239062681 \h </w:instrText>
            </w:r>
            <w:r w:rsidR="000C11B8">
              <w:rPr>
                <w:noProof/>
                <w:webHidden/>
              </w:rPr>
            </w:r>
            <w:r w:rsidR="000C11B8">
              <w:rPr>
                <w:noProof/>
                <w:webHidden/>
              </w:rPr>
              <w:fldChar w:fldCharType="separate"/>
            </w:r>
            <w:r w:rsidR="000C11B8">
              <w:rPr>
                <w:noProof/>
                <w:webHidden/>
              </w:rPr>
              <w:t>23</w:t>
            </w:r>
            <w:r w:rsidR="000C11B8">
              <w:rPr>
                <w:noProof/>
                <w:webHidden/>
              </w:rPr>
              <w:fldChar w:fldCharType="end"/>
            </w:r>
          </w:hyperlink>
        </w:p>
        <w:p w14:paraId="62D54C81"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2" w:history="1">
            <w:r w:rsidR="000C11B8" w:rsidRPr="0098227C">
              <w:rPr>
                <w:rStyle w:val="Hyperlink"/>
                <w:noProof/>
              </w:rPr>
              <w:t>Borreliose-Fälle nehmen zu</w:t>
            </w:r>
            <w:r w:rsidR="000C11B8">
              <w:rPr>
                <w:noProof/>
                <w:webHidden/>
              </w:rPr>
              <w:tab/>
            </w:r>
            <w:r w:rsidR="000C11B8">
              <w:rPr>
                <w:noProof/>
                <w:webHidden/>
              </w:rPr>
              <w:fldChar w:fldCharType="begin"/>
            </w:r>
            <w:r w:rsidR="000C11B8">
              <w:rPr>
                <w:noProof/>
                <w:webHidden/>
              </w:rPr>
              <w:instrText xml:space="preserve"> PAGEREF _Toc239062682 \h </w:instrText>
            </w:r>
            <w:r w:rsidR="000C11B8">
              <w:rPr>
                <w:noProof/>
                <w:webHidden/>
              </w:rPr>
            </w:r>
            <w:r w:rsidR="000C11B8">
              <w:rPr>
                <w:noProof/>
                <w:webHidden/>
              </w:rPr>
              <w:fldChar w:fldCharType="separate"/>
            </w:r>
            <w:r w:rsidR="000C11B8">
              <w:rPr>
                <w:noProof/>
                <w:webHidden/>
              </w:rPr>
              <w:t>24</w:t>
            </w:r>
            <w:r w:rsidR="000C11B8">
              <w:rPr>
                <w:noProof/>
                <w:webHidden/>
              </w:rPr>
              <w:fldChar w:fldCharType="end"/>
            </w:r>
          </w:hyperlink>
        </w:p>
        <w:p w14:paraId="2BE4D831"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3" w:history="1">
            <w:r w:rsidR="000C11B8" w:rsidRPr="0098227C">
              <w:rPr>
                <w:rStyle w:val="Hyperlink"/>
                <w:noProof/>
              </w:rPr>
              <w:t>Jodmangel weit verbreitet</w:t>
            </w:r>
            <w:r w:rsidR="000C11B8">
              <w:rPr>
                <w:noProof/>
                <w:webHidden/>
              </w:rPr>
              <w:tab/>
            </w:r>
            <w:r w:rsidR="000C11B8">
              <w:rPr>
                <w:noProof/>
                <w:webHidden/>
              </w:rPr>
              <w:fldChar w:fldCharType="begin"/>
            </w:r>
            <w:r w:rsidR="000C11B8">
              <w:rPr>
                <w:noProof/>
                <w:webHidden/>
              </w:rPr>
              <w:instrText xml:space="preserve"> PAGEREF _Toc239062683 \h </w:instrText>
            </w:r>
            <w:r w:rsidR="000C11B8">
              <w:rPr>
                <w:noProof/>
                <w:webHidden/>
              </w:rPr>
            </w:r>
            <w:r w:rsidR="000C11B8">
              <w:rPr>
                <w:noProof/>
                <w:webHidden/>
              </w:rPr>
              <w:fldChar w:fldCharType="separate"/>
            </w:r>
            <w:r w:rsidR="000C11B8">
              <w:rPr>
                <w:noProof/>
                <w:webHidden/>
              </w:rPr>
              <w:t>24</w:t>
            </w:r>
            <w:r w:rsidR="000C11B8">
              <w:rPr>
                <w:noProof/>
                <w:webHidden/>
              </w:rPr>
              <w:fldChar w:fldCharType="end"/>
            </w:r>
          </w:hyperlink>
        </w:p>
        <w:p w14:paraId="054695CA"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4" w:history="1">
            <w:r w:rsidR="000C11B8" w:rsidRPr="0098227C">
              <w:rPr>
                <w:rStyle w:val="Hyperlink"/>
                <w:noProof/>
              </w:rPr>
              <w:t>Softdrinks und Fruchtsäfte enthalten viel Fruktose</w:t>
            </w:r>
            <w:r w:rsidR="000C11B8">
              <w:rPr>
                <w:noProof/>
                <w:webHidden/>
              </w:rPr>
              <w:tab/>
            </w:r>
            <w:r w:rsidR="000C11B8">
              <w:rPr>
                <w:noProof/>
                <w:webHidden/>
              </w:rPr>
              <w:fldChar w:fldCharType="begin"/>
            </w:r>
            <w:r w:rsidR="000C11B8">
              <w:rPr>
                <w:noProof/>
                <w:webHidden/>
              </w:rPr>
              <w:instrText xml:space="preserve"> PAGEREF _Toc239062684 \h </w:instrText>
            </w:r>
            <w:r w:rsidR="000C11B8">
              <w:rPr>
                <w:noProof/>
                <w:webHidden/>
              </w:rPr>
            </w:r>
            <w:r w:rsidR="000C11B8">
              <w:rPr>
                <w:noProof/>
                <w:webHidden/>
              </w:rPr>
              <w:fldChar w:fldCharType="separate"/>
            </w:r>
            <w:r w:rsidR="000C11B8">
              <w:rPr>
                <w:noProof/>
                <w:webHidden/>
              </w:rPr>
              <w:t>26</w:t>
            </w:r>
            <w:r w:rsidR="000C11B8">
              <w:rPr>
                <w:noProof/>
                <w:webHidden/>
              </w:rPr>
              <w:fldChar w:fldCharType="end"/>
            </w:r>
          </w:hyperlink>
        </w:p>
        <w:p w14:paraId="7FED0C85"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5" w:history="1">
            <w:r w:rsidR="000C11B8" w:rsidRPr="0098227C">
              <w:rPr>
                <w:rStyle w:val="Hyperlink"/>
                <w:noProof/>
              </w:rPr>
              <w:t>Mit MusikSchmerzen lindern</w:t>
            </w:r>
            <w:r w:rsidR="000C11B8">
              <w:rPr>
                <w:noProof/>
                <w:webHidden/>
              </w:rPr>
              <w:tab/>
            </w:r>
            <w:r w:rsidR="000C11B8">
              <w:rPr>
                <w:noProof/>
                <w:webHidden/>
              </w:rPr>
              <w:fldChar w:fldCharType="begin"/>
            </w:r>
            <w:r w:rsidR="000C11B8">
              <w:rPr>
                <w:noProof/>
                <w:webHidden/>
              </w:rPr>
              <w:instrText xml:space="preserve"> PAGEREF _Toc239062685 \h </w:instrText>
            </w:r>
            <w:r w:rsidR="000C11B8">
              <w:rPr>
                <w:noProof/>
                <w:webHidden/>
              </w:rPr>
            </w:r>
            <w:r w:rsidR="000C11B8">
              <w:rPr>
                <w:noProof/>
                <w:webHidden/>
              </w:rPr>
              <w:fldChar w:fldCharType="separate"/>
            </w:r>
            <w:r w:rsidR="000C11B8">
              <w:rPr>
                <w:noProof/>
                <w:webHidden/>
              </w:rPr>
              <w:t>27</w:t>
            </w:r>
            <w:r w:rsidR="000C11B8">
              <w:rPr>
                <w:noProof/>
                <w:webHidden/>
              </w:rPr>
              <w:fldChar w:fldCharType="end"/>
            </w:r>
          </w:hyperlink>
        </w:p>
        <w:p w14:paraId="4406359D"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6" w:history="1">
            <w:r w:rsidR="000C11B8" w:rsidRPr="0098227C">
              <w:rPr>
                <w:rStyle w:val="Hyperlink"/>
                <w:noProof/>
              </w:rPr>
              <w:t>Familienpolitik macht Kinder zu Leidtragenden</w:t>
            </w:r>
            <w:r w:rsidR="000C11B8">
              <w:rPr>
                <w:noProof/>
                <w:webHidden/>
              </w:rPr>
              <w:tab/>
            </w:r>
            <w:r w:rsidR="000C11B8">
              <w:rPr>
                <w:noProof/>
                <w:webHidden/>
              </w:rPr>
              <w:fldChar w:fldCharType="begin"/>
            </w:r>
            <w:r w:rsidR="000C11B8">
              <w:rPr>
                <w:noProof/>
                <w:webHidden/>
              </w:rPr>
              <w:instrText xml:space="preserve"> PAGEREF _Toc239062686 \h </w:instrText>
            </w:r>
            <w:r w:rsidR="000C11B8">
              <w:rPr>
                <w:noProof/>
                <w:webHidden/>
              </w:rPr>
            </w:r>
            <w:r w:rsidR="000C11B8">
              <w:rPr>
                <w:noProof/>
                <w:webHidden/>
              </w:rPr>
              <w:fldChar w:fldCharType="separate"/>
            </w:r>
            <w:r w:rsidR="000C11B8">
              <w:rPr>
                <w:noProof/>
                <w:webHidden/>
              </w:rPr>
              <w:t>28</w:t>
            </w:r>
            <w:r w:rsidR="000C11B8">
              <w:rPr>
                <w:noProof/>
                <w:webHidden/>
              </w:rPr>
              <w:fldChar w:fldCharType="end"/>
            </w:r>
          </w:hyperlink>
        </w:p>
        <w:p w14:paraId="3D43A612"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7" w:history="1">
            <w:r w:rsidR="000C11B8" w:rsidRPr="0098227C">
              <w:rPr>
                <w:rStyle w:val="Hyperlink"/>
                <w:noProof/>
              </w:rPr>
              <w:t>Junge Menschen besser schützen</w:t>
            </w:r>
            <w:r w:rsidR="000C11B8">
              <w:rPr>
                <w:noProof/>
                <w:webHidden/>
              </w:rPr>
              <w:tab/>
            </w:r>
            <w:r w:rsidR="000C11B8">
              <w:rPr>
                <w:noProof/>
                <w:webHidden/>
              </w:rPr>
              <w:fldChar w:fldCharType="begin"/>
            </w:r>
            <w:r w:rsidR="000C11B8">
              <w:rPr>
                <w:noProof/>
                <w:webHidden/>
              </w:rPr>
              <w:instrText xml:space="preserve"> PAGEREF _Toc239062687 \h </w:instrText>
            </w:r>
            <w:r w:rsidR="000C11B8">
              <w:rPr>
                <w:noProof/>
                <w:webHidden/>
              </w:rPr>
            </w:r>
            <w:r w:rsidR="000C11B8">
              <w:rPr>
                <w:noProof/>
                <w:webHidden/>
              </w:rPr>
              <w:fldChar w:fldCharType="separate"/>
            </w:r>
            <w:r w:rsidR="000C11B8">
              <w:rPr>
                <w:noProof/>
                <w:webHidden/>
              </w:rPr>
              <w:t>29</w:t>
            </w:r>
            <w:r w:rsidR="000C11B8">
              <w:rPr>
                <w:noProof/>
                <w:webHidden/>
              </w:rPr>
              <w:fldChar w:fldCharType="end"/>
            </w:r>
          </w:hyperlink>
        </w:p>
        <w:p w14:paraId="6746D8CD"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8" w:history="1">
            <w:r w:rsidR="000C11B8" w:rsidRPr="0098227C">
              <w:rPr>
                <w:rStyle w:val="Hyperlink"/>
                <w:noProof/>
              </w:rPr>
              <w:t>Engagementpreisfür Menschen ab 80</w:t>
            </w:r>
            <w:r w:rsidR="000C11B8">
              <w:rPr>
                <w:noProof/>
                <w:webHidden/>
              </w:rPr>
              <w:tab/>
            </w:r>
            <w:r w:rsidR="000C11B8">
              <w:rPr>
                <w:noProof/>
                <w:webHidden/>
              </w:rPr>
              <w:fldChar w:fldCharType="begin"/>
            </w:r>
            <w:r w:rsidR="000C11B8">
              <w:rPr>
                <w:noProof/>
                <w:webHidden/>
              </w:rPr>
              <w:instrText xml:space="preserve"> PAGEREF _Toc239062688 \h </w:instrText>
            </w:r>
            <w:r w:rsidR="000C11B8">
              <w:rPr>
                <w:noProof/>
                <w:webHidden/>
              </w:rPr>
            </w:r>
            <w:r w:rsidR="000C11B8">
              <w:rPr>
                <w:noProof/>
                <w:webHidden/>
              </w:rPr>
              <w:fldChar w:fldCharType="separate"/>
            </w:r>
            <w:r w:rsidR="000C11B8">
              <w:rPr>
                <w:noProof/>
                <w:webHidden/>
              </w:rPr>
              <w:t>30</w:t>
            </w:r>
            <w:r w:rsidR="000C11B8">
              <w:rPr>
                <w:noProof/>
                <w:webHidden/>
              </w:rPr>
              <w:fldChar w:fldCharType="end"/>
            </w:r>
          </w:hyperlink>
        </w:p>
        <w:p w14:paraId="23F82FA1"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89" w:history="1">
            <w:r w:rsidR="000C11B8" w:rsidRPr="0098227C">
              <w:rPr>
                <w:rStyle w:val="Hyperlink"/>
                <w:noProof/>
              </w:rPr>
              <w:t>Politische Einstellung hat sich verändert</w:t>
            </w:r>
            <w:r w:rsidR="000C11B8">
              <w:rPr>
                <w:noProof/>
                <w:webHidden/>
              </w:rPr>
              <w:tab/>
            </w:r>
            <w:r w:rsidR="000C11B8">
              <w:rPr>
                <w:noProof/>
                <w:webHidden/>
              </w:rPr>
              <w:fldChar w:fldCharType="begin"/>
            </w:r>
            <w:r w:rsidR="000C11B8">
              <w:rPr>
                <w:noProof/>
                <w:webHidden/>
              </w:rPr>
              <w:instrText xml:space="preserve"> PAGEREF _Toc239062689 \h </w:instrText>
            </w:r>
            <w:r w:rsidR="000C11B8">
              <w:rPr>
                <w:noProof/>
                <w:webHidden/>
              </w:rPr>
            </w:r>
            <w:r w:rsidR="000C11B8">
              <w:rPr>
                <w:noProof/>
                <w:webHidden/>
              </w:rPr>
              <w:fldChar w:fldCharType="separate"/>
            </w:r>
            <w:r w:rsidR="000C11B8">
              <w:rPr>
                <w:noProof/>
                <w:webHidden/>
              </w:rPr>
              <w:t>31</w:t>
            </w:r>
            <w:r w:rsidR="000C11B8">
              <w:rPr>
                <w:noProof/>
                <w:webHidden/>
              </w:rPr>
              <w:fldChar w:fldCharType="end"/>
            </w:r>
          </w:hyperlink>
        </w:p>
        <w:p w14:paraId="0347F056"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0" w:history="1">
            <w:r w:rsidR="000C11B8" w:rsidRPr="0098227C">
              <w:rPr>
                <w:rStyle w:val="Hyperlink"/>
                <w:noProof/>
              </w:rPr>
              <w:t>Zwischen Wunsch und Wirklichkeit</w:t>
            </w:r>
            <w:r w:rsidR="000C11B8">
              <w:rPr>
                <w:noProof/>
                <w:webHidden/>
              </w:rPr>
              <w:tab/>
            </w:r>
            <w:r w:rsidR="000C11B8">
              <w:rPr>
                <w:noProof/>
                <w:webHidden/>
              </w:rPr>
              <w:fldChar w:fldCharType="begin"/>
            </w:r>
            <w:r w:rsidR="000C11B8">
              <w:rPr>
                <w:noProof/>
                <w:webHidden/>
              </w:rPr>
              <w:instrText xml:space="preserve"> PAGEREF _Toc239062690 \h </w:instrText>
            </w:r>
            <w:r w:rsidR="000C11B8">
              <w:rPr>
                <w:noProof/>
                <w:webHidden/>
              </w:rPr>
            </w:r>
            <w:r w:rsidR="000C11B8">
              <w:rPr>
                <w:noProof/>
                <w:webHidden/>
              </w:rPr>
              <w:fldChar w:fldCharType="separate"/>
            </w:r>
            <w:r w:rsidR="000C11B8">
              <w:rPr>
                <w:noProof/>
                <w:webHidden/>
              </w:rPr>
              <w:t>31</w:t>
            </w:r>
            <w:r w:rsidR="000C11B8">
              <w:rPr>
                <w:noProof/>
                <w:webHidden/>
              </w:rPr>
              <w:fldChar w:fldCharType="end"/>
            </w:r>
          </w:hyperlink>
        </w:p>
        <w:p w14:paraId="79DBB33C"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1" w:history="1">
            <w:r w:rsidR="000C11B8" w:rsidRPr="0098227C">
              <w:rPr>
                <w:rStyle w:val="Hyperlink"/>
                <w:noProof/>
              </w:rPr>
              <w:t>Ausgleichsabgabe zeigt Wirkung</w:t>
            </w:r>
            <w:r w:rsidR="000C11B8">
              <w:rPr>
                <w:noProof/>
                <w:webHidden/>
              </w:rPr>
              <w:tab/>
            </w:r>
            <w:r w:rsidR="000C11B8">
              <w:rPr>
                <w:noProof/>
                <w:webHidden/>
              </w:rPr>
              <w:fldChar w:fldCharType="begin"/>
            </w:r>
            <w:r w:rsidR="000C11B8">
              <w:rPr>
                <w:noProof/>
                <w:webHidden/>
              </w:rPr>
              <w:instrText xml:space="preserve"> PAGEREF _Toc239062691 \h </w:instrText>
            </w:r>
            <w:r w:rsidR="000C11B8">
              <w:rPr>
                <w:noProof/>
                <w:webHidden/>
              </w:rPr>
            </w:r>
            <w:r w:rsidR="000C11B8">
              <w:rPr>
                <w:noProof/>
                <w:webHidden/>
              </w:rPr>
              <w:fldChar w:fldCharType="separate"/>
            </w:r>
            <w:r w:rsidR="000C11B8">
              <w:rPr>
                <w:noProof/>
                <w:webHidden/>
              </w:rPr>
              <w:t>33</w:t>
            </w:r>
            <w:r w:rsidR="000C11B8">
              <w:rPr>
                <w:noProof/>
                <w:webHidden/>
              </w:rPr>
              <w:fldChar w:fldCharType="end"/>
            </w:r>
          </w:hyperlink>
        </w:p>
        <w:p w14:paraId="7C77F424"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2" w:history="1">
            <w:r w:rsidR="000C11B8" w:rsidRPr="0098227C">
              <w:rPr>
                <w:rStyle w:val="Hyperlink"/>
                <w:noProof/>
              </w:rPr>
              <w:t>Aktuelle Filme auf VdK-TV</w:t>
            </w:r>
            <w:r w:rsidR="000C11B8">
              <w:rPr>
                <w:noProof/>
                <w:webHidden/>
              </w:rPr>
              <w:tab/>
            </w:r>
            <w:r w:rsidR="000C11B8">
              <w:rPr>
                <w:noProof/>
                <w:webHidden/>
              </w:rPr>
              <w:fldChar w:fldCharType="begin"/>
            </w:r>
            <w:r w:rsidR="000C11B8">
              <w:rPr>
                <w:noProof/>
                <w:webHidden/>
              </w:rPr>
              <w:instrText xml:space="preserve"> PAGEREF _Toc239062692 \h </w:instrText>
            </w:r>
            <w:r w:rsidR="000C11B8">
              <w:rPr>
                <w:noProof/>
                <w:webHidden/>
              </w:rPr>
            </w:r>
            <w:r w:rsidR="000C11B8">
              <w:rPr>
                <w:noProof/>
                <w:webHidden/>
              </w:rPr>
              <w:fldChar w:fldCharType="separate"/>
            </w:r>
            <w:r w:rsidR="000C11B8">
              <w:rPr>
                <w:noProof/>
                <w:webHidden/>
              </w:rPr>
              <w:t>34</w:t>
            </w:r>
            <w:r w:rsidR="000C11B8">
              <w:rPr>
                <w:noProof/>
                <w:webHidden/>
              </w:rPr>
              <w:fldChar w:fldCharType="end"/>
            </w:r>
          </w:hyperlink>
        </w:p>
        <w:p w14:paraId="20DDF6DA"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3" w:history="1">
            <w:r w:rsidR="000C11B8" w:rsidRPr="0098227C">
              <w:rPr>
                <w:rStyle w:val="Hyperlink"/>
                <w:noProof/>
              </w:rPr>
              <w:t>„miteinander“ im September</w:t>
            </w:r>
            <w:r w:rsidR="000C11B8">
              <w:rPr>
                <w:noProof/>
                <w:webHidden/>
              </w:rPr>
              <w:tab/>
            </w:r>
            <w:r w:rsidR="000C11B8">
              <w:rPr>
                <w:noProof/>
                <w:webHidden/>
              </w:rPr>
              <w:fldChar w:fldCharType="begin"/>
            </w:r>
            <w:r w:rsidR="000C11B8">
              <w:rPr>
                <w:noProof/>
                <w:webHidden/>
              </w:rPr>
              <w:instrText xml:space="preserve"> PAGEREF _Toc239062693 \h </w:instrText>
            </w:r>
            <w:r w:rsidR="000C11B8">
              <w:rPr>
                <w:noProof/>
                <w:webHidden/>
              </w:rPr>
            </w:r>
            <w:r w:rsidR="000C11B8">
              <w:rPr>
                <w:noProof/>
                <w:webHidden/>
              </w:rPr>
              <w:fldChar w:fldCharType="separate"/>
            </w:r>
            <w:r w:rsidR="000C11B8">
              <w:rPr>
                <w:noProof/>
                <w:webHidden/>
              </w:rPr>
              <w:t>35</w:t>
            </w:r>
            <w:r w:rsidR="000C11B8">
              <w:rPr>
                <w:noProof/>
                <w:webHidden/>
              </w:rPr>
              <w:fldChar w:fldCharType="end"/>
            </w:r>
          </w:hyperlink>
        </w:p>
        <w:p w14:paraId="7E53C0B7"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4" w:history="1">
            <w:r w:rsidR="000C11B8" w:rsidRPr="0098227C">
              <w:rPr>
                <w:rStyle w:val="Hyperlink"/>
                <w:noProof/>
              </w:rPr>
              <w:t>Exotischer Blütenzauber</w:t>
            </w:r>
            <w:r w:rsidR="000C11B8">
              <w:rPr>
                <w:noProof/>
                <w:webHidden/>
              </w:rPr>
              <w:tab/>
            </w:r>
            <w:r w:rsidR="000C11B8">
              <w:rPr>
                <w:noProof/>
                <w:webHidden/>
              </w:rPr>
              <w:fldChar w:fldCharType="begin"/>
            </w:r>
            <w:r w:rsidR="000C11B8">
              <w:rPr>
                <w:noProof/>
                <w:webHidden/>
              </w:rPr>
              <w:instrText xml:space="preserve"> PAGEREF _Toc239062694 \h </w:instrText>
            </w:r>
            <w:r w:rsidR="000C11B8">
              <w:rPr>
                <w:noProof/>
                <w:webHidden/>
              </w:rPr>
            </w:r>
            <w:r w:rsidR="000C11B8">
              <w:rPr>
                <w:noProof/>
                <w:webHidden/>
              </w:rPr>
              <w:fldChar w:fldCharType="separate"/>
            </w:r>
            <w:r w:rsidR="000C11B8">
              <w:rPr>
                <w:noProof/>
                <w:webHidden/>
              </w:rPr>
              <w:t>35</w:t>
            </w:r>
            <w:r w:rsidR="000C11B8">
              <w:rPr>
                <w:noProof/>
                <w:webHidden/>
              </w:rPr>
              <w:fldChar w:fldCharType="end"/>
            </w:r>
          </w:hyperlink>
        </w:p>
        <w:p w14:paraId="6E151D2C"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5" w:history="1">
            <w:r w:rsidR="000C11B8" w:rsidRPr="0098227C">
              <w:rPr>
                <w:rStyle w:val="Hyperlink"/>
                <w:noProof/>
              </w:rPr>
              <w:t>Roboter Pawlowitsch soll sich kümmern</w:t>
            </w:r>
            <w:r w:rsidR="000C11B8">
              <w:rPr>
                <w:noProof/>
                <w:webHidden/>
              </w:rPr>
              <w:tab/>
            </w:r>
            <w:r w:rsidR="000C11B8">
              <w:rPr>
                <w:noProof/>
                <w:webHidden/>
              </w:rPr>
              <w:fldChar w:fldCharType="begin"/>
            </w:r>
            <w:r w:rsidR="000C11B8">
              <w:rPr>
                <w:noProof/>
                <w:webHidden/>
              </w:rPr>
              <w:instrText xml:space="preserve"> PAGEREF _Toc239062695 \h </w:instrText>
            </w:r>
            <w:r w:rsidR="000C11B8">
              <w:rPr>
                <w:noProof/>
                <w:webHidden/>
              </w:rPr>
            </w:r>
            <w:r w:rsidR="000C11B8">
              <w:rPr>
                <w:noProof/>
                <w:webHidden/>
              </w:rPr>
              <w:fldChar w:fldCharType="separate"/>
            </w:r>
            <w:r w:rsidR="000C11B8">
              <w:rPr>
                <w:noProof/>
                <w:webHidden/>
              </w:rPr>
              <w:t>37</w:t>
            </w:r>
            <w:r w:rsidR="000C11B8">
              <w:rPr>
                <w:noProof/>
                <w:webHidden/>
              </w:rPr>
              <w:fldChar w:fldCharType="end"/>
            </w:r>
          </w:hyperlink>
        </w:p>
        <w:p w14:paraId="3B0D0204"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6" w:history="1">
            <w:r w:rsidR="000C11B8" w:rsidRPr="0098227C">
              <w:rPr>
                <w:rStyle w:val="Hyperlink"/>
                <w:noProof/>
              </w:rPr>
              <w:t>Einsam mit dem Pflegeroboter</w:t>
            </w:r>
            <w:r w:rsidR="000C11B8">
              <w:rPr>
                <w:noProof/>
                <w:webHidden/>
              </w:rPr>
              <w:tab/>
            </w:r>
            <w:r w:rsidR="000C11B8">
              <w:rPr>
                <w:noProof/>
                <w:webHidden/>
              </w:rPr>
              <w:fldChar w:fldCharType="begin"/>
            </w:r>
            <w:r w:rsidR="000C11B8">
              <w:rPr>
                <w:noProof/>
                <w:webHidden/>
              </w:rPr>
              <w:instrText xml:space="preserve"> PAGEREF _Toc239062696 \h </w:instrText>
            </w:r>
            <w:r w:rsidR="000C11B8">
              <w:rPr>
                <w:noProof/>
                <w:webHidden/>
              </w:rPr>
            </w:r>
            <w:r w:rsidR="000C11B8">
              <w:rPr>
                <w:noProof/>
                <w:webHidden/>
              </w:rPr>
              <w:fldChar w:fldCharType="separate"/>
            </w:r>
            <w:r w:rsidR="000C11B8">
              <w:rPr>
                <w:noProof/>
                <w:webHidden/>
              </w:rPr>
              <w:t>38</w:t>
            </w:r>
            <w:r w:rsidR="000C11B8">
              <w:rPr>
                <w:noProof/>
                <w:webHidden/>
              </w:rPr>
              <w:fldChar w:fldCharType="end"/>
            </w:r>
          </w:hyperlink>
        </w:p>
        <w:p w14:paraId="7D1335FB"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7" w:history="1">
            <w:r w:rsidR="000C11B8" w:rsidRPr="0098227C">
              <w:rPr>
                <w:rStyle w:val="Hyperlink"/>
                <w:noProof/>
              </w:rPr>
              <w:t>Donald Duck – cholerisch und trotzdem liebenswert</w:t>
            </w:r>
            <w:r w:rsidR="000C11B8">
              <w:rPr>
                <w:noProof/>
                <w:webHidden/>
              </w:rPr>
              <w:tab/>
            </w:r>
            <w:r w:rsidR="000C11B8">
              <w:rPr>
                <w:noProof/>
                <w:webHidden/>
              </w:rPr>
              <w:fldChar w:fldCharType="begin"/>
            </w:r>
            <w:r w:rsidR="000C11B8">
              <w:rPr>
                <w:noProof/>
                <w:webHidden/>
              </w:rPr>
              <w:instrText xml:space="preserve"> PAGEREF _Toc239062697 \h </w:instrText>
            </w:r>
            <w:r w:rsidR="000C11B8">
              <w:rPr>
                <w:noProof/>
                <w:webHidden/>
              </w:rPr>
            </w:r>
            <w:r w:rsidR="000C11B8">
              <w:rPr>
                <w:noProof/>
                <w:webHidden/>
              </w:rPr>
              <w:fldChar w:fldCharType="separate"/>
            </w:r>
            <w:r w:rsidR="000C11B8">
              <w:rPr>
                <w:noProof/>
                <w:webHidden/>
              </w:rPr>
              <w:t>39</w:t>
            </w:r>
            <w:r w:rsidR="000C11B8">
              <w:rPr>
                <w:noProof/>
                <w:webHidden/>
              </w:rPr>
              <w:fldChar w:fldCharType="end"/>
            </w:r>
          </w:hyperlink>
        </w:p>
        <w:p w14:paraId="650AD8EA"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8" w:history="1">
            <w:r w:rsidR="000C11B8" w:rsidRPr="0098227C">
              <w:rPr>
                <w:rStyle w:val="Hyperlink"/>
                <w:noProof/>
              </w:rPr>
              <w:t>Radverkehr auf dem Prüfstand</w:t>
            </w:r>
            <w:r w:rsidR="000C11B8">
              <w:rPr>
                <w:noProof/>
                <w:webHidden/>
              </w:rPr>
              <w:tab/>
            </w:r>
            <w:r w:rsidR="000C11B8">
              <w:rPr>
                <w:noProof/>
                <w:webHidden/>
              </w:rPr>
              <w:fldChar w:fldCharType="begin"/>
            </w:r>
            <w:r w:rsidR="000C11B8">
              <w:rPr>
                <w:noProof/>
                <w:webHidden/>
              </w:rPr>
              <w:instrText xml:space="preserve"> PAGEREF _Toc239062698 \h </w:instrText>
            </w:r>
            <w:r w:rsidR="000C11B8">
              <w:rPr>
                <w:noProof/>
                <w:webHidden/>
              </w:rPr>
            </w:r>
            <w:r w:rsidR="000C11B8">
              <w:rPr>
                <w:noProof/>
                <w:webHidden/>
              </w:rPr>
              <w:fldChar w:fldCharType="separate"/>
            </w:r>
            <w:r w:rsidR="000C11B8">
              <w:rPr>
                <w:noProof/>
                <w:webHidden/>
              </w:rPr>
              <w:t>40</w:t>
            </w:r>
            <w:r w:rsidR="000C11B8">
              <w:rPr>
                <w:noProof/>
                <w:webHidden/>
              </w:rPr>
              <w:fldChar w:fldCharType="end"/>
            </w:r>
          </w:hyperlink>
        </w:p>
        <w:p w14:paraId="6C30773A"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699" w:history="1">
            <w:r w:rsidR="000C11B8" w:rsidRPr="0098227C">
              <w:rPr>
                <w:rStyle w:val="Hyperlink"/>
                <w:noProof/>
              </w:rPr>
              <w:t>Neue Heizung, weniger Kosten</w:t>
            </w:r>
            <w:r w:rsidR="000C11B8">
              <w:rPr>
                <w:noProof/>
                <w:webHidden/>
              </w:rPr>
              <w:tab/>
            </w:r>
            <w:r w:rsidR="000C11B8">
              <w:rPr>
                <w:noProof/>
                <w:webHidden/>
              </w:rPr>
              <w:fldChar w:fldCharType="begin"/>
            </w:r>
            <w:r w:rsidR="000C11B8">
              <w:rPr>
                <w:noProof/>
                <w:webHidden/>
              </w:rPr>
              <w:instrText xml:space="preserve"> PAGEREF _Toc239062699 \h </w:instrText>
            </w:r>
            <w:r w:rsidR="000C11B8">
              <w:rPr>
                <w:noProof/>
                <w:webHidden/>
              </w:rPr>
            </w:r>
            <w:r w:rsidR="000C11B8">
              <w:rPr>
                <w:noProof/>
                <w:webHidden/>
              </w:rPr>
              <w:fldChar w:fldCharType="separate"/>
            </w:r>
            <w:r w:rsidR="000C11B8">
              <w:rPr>
                <w:noProof/>
                <w:webHidden/>
              </w:rPr>
              <w:t>41</w:t>
            </w:r>
            <w:r w:rsidR="000C11B8">
              <w:rPr>
                <w:noProof/>
                <w:webHidden/>
              </w:rPr>
              <w:fldChar w:fldCharType="end"/>
            </w:r>
          </w:hyperlink>
        </w:p>
        <w:p w14:paraId="1A5ACD54"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0" w:history="1">
            <w:r w:rsidR="000C11B8" w:rsidRPr="0098227C">
              <w:rPr>
                <w:rStyle w:val="Hyperlink"/>
                <w:noProof/>
              </w:rPr>
              <w:t>Öfter mal ein Kurzurlaub</w:t>
            </w:r>
            <w:r w:rsidR="000C11B8">
              <w:rPr>
                <w:noProof/>
                <w:webHidden/>
              </w:rPr>
              <w:tab/>
            </w:r>
            <w:r w:rsidR="000C11B8">
              <w:rPr>
                <w:noProof/>
                <w:webHidden/>
              </w:rPr>
              <w:fldChar w:fldCharType="begin"/>
            </w:r>
            <w:r w:rsidR="000C11B8">
              <w:rPr>
                <w:noProof/>
                <w:webHidden/>
              </w:rPr>
              <w:instrText xml:space="preserve"> PAGEREF _Toc239062700 \h </w:instrText>
            </w:r>
            <w:r w:rsidR="000C11B8">
              <w:rPr>
                <w:noProof/>
                <w:webHidden/>
              </w:rPr>
            </w:r>
            <w:r w:rsidR="000C11B8">
              <w:rPr>
                <w:noProof/>
                <w:webHidden/>
              </w:rPr>
              <w:fldChar w:fldCharType="separate"/>
            </w:r>
            <w:r w:rsidR="000C11B8">
              <w:rPr>
                <w:noProof/>
                <w:webHidden/>
              </w:rPr>
              <w:t>42</w:t>
            </w:r>
            <w:r w:rsidR="000C11B8">
              <w:rPr>
                <w:noProof/>
                <w:webHidden/>
              </w:rPr>
              <w:fldChar w:fldCharType="end"/>
            </w:r>
          </w:hyperlink>
        </w:p>
        <w:p w14:paraId="2883E0AA"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1" w:history="1">
            <w:r w:rsidR="000C11B8" w:rsidRPr="0098227C">
              <w:rPr>
                <w:rStyle w:val="Hyperlink"/>
                <w:noProof/>
              </w:rPr>
              <w:t>Geschädigte jetzt besser geschützt</w:t>
            </w:r>
            <w:r w:rsidR="000C11B8">
              <w:rPr>
                <w:noProof/>
                <w:webHidden/>
              </w:rPr>
              <w:tab/>
            </w:r>
            <w:r w:rsidR="000C11B8">
              <w:rPr>
                <w:noProof/>
                <w:webHidden/>
              </w:rPr>
              <w:fldChar w:fldCharType="begin"/>
            </w:r>
            <w:r w:rsidR="000C11B8">
              <w:rPr>
                <w:noProof/>
                <w:webHidden/>
              </w:rPr>
              <w:instrText xml:space="preserve"> PAGEREF _Toc239062701 \h </w:instrText>
            </w:r>
            <w:r w:rsidR="000C11B8">
              <w:rPr>
                <w:noProof/>
                <w:webHidden/>
              </w:rPr>
            </w:r>
            <w:r w:rsidR="000C11B8">
              <w:rPr>
                <w:noProof/>
                <w:webHidden/>
              </w:rPr>
              <w:fldChar w:fldCharType="separate"/>
            </w:r>
            <w:r w:rsidR="000C11B8">
              <w:rPr>
                <w:noProof/>
                <w:webHidden/>
              </w:rPr>
              <w:t>43</w:t>
            </w:r>
            <w:r w:rsidR="000C11B8">
              <w:rPr>
                <w:noProof/>
                <w:webHidden/>
              </w:rPr>
              <w:fldChar w:fldCharType="end"/>
            </w:r>
          </w:hyperlink>
        </w:p>
        <w:p w14:paraId="664EA8BB"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2" w:history="1">
            <w:r w:rsidR="000C11B8" w:rsidRPr="0098227C">
              <w:rPr>
                <w:rStyle w:val="Hyperlink"/>
                <w:noProof/>
              </w:rPr>
              <w:t>Brandgefährliche Elektrogeräte</w:t>
            </w:r>
            <w:r w:rsidR="000C11B8">
              <w:rPr>
                <w:noProof/>
                <w:webHidden/>
              </w:rPr>
              <w:tab/>
            </w:r>
            <w:r w:rsidR="000C11B8">
              <w:rPr>
                <w:noProof/>
                <w:webHidden/>
              </w:rPr>
              <w:fldChar w:fldCharType="begin"/>
            </w:r>
            <w:r w:rsidR="000C11B8">
              <w:rPr>
                <w:noProof/>
                <w:webHidden/>
              </w:rPr>
              <w:instrText xml:space="preserve"> PAGEREF _Toc239062702 \h </w:instrText>
            </w:r>
            <w:r w:rsidR="000C11B8">
              <w:rPr>
                <w:noProof/>
                <w:webHidden/>
              </w:rPr>
            </w:r>
            <w:r w:rsidR="000C11B8">
              <w:rPr>
                <w:noProof/>
                <w:webHidden/>
              </w:rPr>
              <w:fldChar w:fldCharType="separate"/>
            </w:r>
            <w:r w:rsidR="000C11B8">
              <w:rPr>
                <w:noProof/>
                <w:webHidden/>
              </w:rPr>
              <w:t>44</w:t>
            </w:r>
            <w:r w:rsidR="000C11B8">
              <w:rPr>
                <w:noProof/>
                <w:webHidden/>
              </w:rPr>
              <w:fldChar w:fldCharType="end"/>
            </w:r>
          </w:hyperlink>
        </w:p>
        <w:p w14:paraId="72ABF901"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3" w:history="1">
            <w:r w:rsidR="000C11B8" w:rsidRPr="0098227C">
              <w:rPr>
                <w:rStyle w:val="Hyperlink"/>
                <w:noProof/>
              </w:rPr>
              <w:t>Lebensretter im Sicherungskasten</w:t>
            </w:r>
            <w:r w:rsidR="000C11B8">
              <w:rPr>
                <w:noProof/>
                <w:webHidden/>
              </w:rPr>
              <w:tab/>
            </w:r>
            <w:r w:rsidR="000C11B8">
              <w:rPr>
                <w:noProof/>
                <w:webHidden/>
              </w:rPr>
              <w:fldChar w:fldCharType="begin"/>
            </w:r>
            <w:r w:rsidR="000C11B8">
              <w:rPr>
                <w:noProof/>
                <w:webHidden/>
              </w:rPr>
              <w:instrText xml:space="preserve"> PAGEREF _Toc239062703 \h </w:instrText>
            </w:r>
            <w:r w:rsidR="000C11B8">
              <w:rPr>
                <w:noProof/>
                <w:webHidden/>
              </w:rPr>
            </w:r>
            <w:r w:rsidR="000C11B8">
              <w:rPr>
                <w:noProof/>
                <w:webHidden/>
              </w:rPr>
              <w:fldChar w:fldCharType="separate"/>
            </w:r>
            <w:r w:rsidR="000C11B8">
              <w:rPr>
                <w:noProof/>
                <w:webHidden/>
              </w:rPr>
              <w:t>46</w:t>
            </w:r>
            <w:r w:rsidR="000C11B8">
              <w:rPr>
                <w:noProof/>
                <w:webHidden/>
              </w:rPr>
              <w:fldChar w:fldCharType="end"/>
            </w:r>
          </w:hyperlink>
        </w:p>
        <w:p w14:paraId="4A7C8ADB"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4" w:history="1">
            <w:r w:rsidR="000C11B8" w:rsidRPr="0098227C">
              <w:rPr>
                <w:rStyle w:val="Hyperlink"/>
                <w:noProof/>
              </w:rPr>
              <w:t>Buchstabenblumen und Korridore ins Nichts</w:t>
            </w:r>
            <w:r w:rsidR="000C11B8">
              <w:rPr>
                <w:noProof/>
                <w:webHidden/>
              </w:rPr>
              <w:tab/>
            </w:r>
            <w:r w:rsidR="000C11B8">
              <w:rPr>
                <w:noProof/>
                <w:webHidden/>
              </w:rPr>
              <w:fldChar w:fldCharType="begin"/>
            </w:r>
            <w:r w:rsidR="000C11B8">
              <w:rPr>
                <w:noProof/>
                <w:webHidden/>
              </w:rPr>
              <w:instrText xml:space="preserve"> PAGEREF _Toc239062704 \h </w:instrText>
            </w:r>
            <w:r w:rsidR="000C11B8">
              <w:rPr>
                <w:noProof/>
                <w:webHidden/>
              </w:rPr>
            </w:r>
            <w:r w:rsidR="000C11B8">
              <w:rPr>
                <w:noProof/>
                <w:webHidden/>
              </w:rPr>
              <w:fldChar w:fldCharType="separate"/>
            </w:r>
            <w:r w:rsidR="000C11B8">
              <w:rPr>
                <w:noProof/>
                <w:webHidden/>
              </w:rPr>
              <w:t>47</w:t>
            </w:r>
            <w:r w:rsidR="000C11B8">
              <w:rPr>
                <w:noProof/>
                <w:webHidden/>
              </w:rPr>
              <w:fldChar w:fldCharType="end"/>
            </w:r>
          </w:hyperlink>
        </w:p>
        <w:p w14:paraId="26E7D830"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5" w:history="1">
            <w:r w:rsidR="000C11B8" w:rsidRPr="0098227C">
              <w:rPr>
                <w:rStyle w:val="Hyperlink"/>
                <w:noProof/>
              </w:rPr>
              <w:t>Ruhig bleiben und Haltemöglichkeit suchen</w:t>
            </w:r>
            <w:r w:rsidR="000C11B8">
              <w:rPr>
                <w:noProof/>
                <w:webHidden/>
              </w:rPr>
              <w:tab/>
            </w:r>
            <w:r w:rsidR="000C11B8">
              <w:rPr>
                <w:noProof/>
                <w:webHidden/>
              </w:rPr>
              <w:fldChar w:fldCharType="begin"/>
            </w:r>
            <w:r w:rsidR="000C11B8">
              <w:rPr>
                <w:noProof/>
                <w:webHidden/>
              </w:rPr>
              <w:instrText xml:space="preserve"> PAGEREF _Toc239062705 \h </w:instrText>
            </w:r>
            <w:r w:rsidR="000C11B8">
              <w:rPr>
                <w:noProof/>
                <w:webHidden/>
              </w:rPr>
            </w:r>
            <w:r w:rsidR="000C11B8">
              <w:rPr>
                <w:noProof/>
                <w:webHidden/>
              </w:rPr>
              <w:fldChar w:fldCharType="separate"/>
            </w:r>
            <w:r w:rsidR="000C11B8">
              <w:rPr>
                <w:noProof/>
                <w:webHidden/>
              </w:rPr>
              <w:t>48</w:t>
            </w:r>
            <w:r w:rsidR="000C11B8">
              <w:rPr>
                <w:noProof/>
                <w:webHidden/>
              </w:rPr>
              <w:fldChar w:fldCharType="end"/>
            </w:r>
          </w:hyperlink>
        </w:p>
        <w:p w14:paraId="275D811B"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6" w:history="1">
            <w:r w:rsidR="000C11B8" w:rsidRPr="0098227C">
              <w:rPr>
                <w:rStyle w:val="Hyperlink"/>
                <w:noProof/>
              </w:rPr>
              <w:t>Ohne Name kein Steuerbonus</w:t>
            </w:r>
            <w:r w:rsidR="000C11B8">
              <w:rPr>
                <w:noProof/>
                <w:webHidden/>
              </w:rPr>
              <w:tab/>
            </w:r>
            <w:r w:rsidR="000C11B8">
              <w:rPr>
                <w:noProof/>
                <w:webHidden/>
              </w:rPr>
              <w:fldChar w:fldCharType="begin"/>
            </w:r>
            <w:r w:rsidR="000C11B8">
              <w:rPr>
                <w:noProof/>
                <w:webHidden/>
              </w:rPr>
              <w:instrText xml:space="preserve"> PAGEREF _Toc239062706 \h </w:instrText>
            </w:r>
            <w:r w:rsidR="000C11B8">
              <w:rPr>
                <w:noProof/>
                <w:webHidden/>
              </w:rPr>
            </w:r>
            <w:r w:rsidR="000C11B8">
              <w:rPr>
                <w:noProof/>
                <w:webHidden/>
              </w:rPr>
              <w:fldChar w:fldCharType="separate"/>
            </w:r>
            <w:r w:rsidR="000C11B8">
              <w:rPr>
                <w:noProof/>
                <w:webHidden/>
              </w:rPr>
              <w:t>49</w:t>
            </w:r>
            <w:r w:rsidR="000C11B8">
              <w:rPr>
                <w:noProof/>
                <w:webHidden/>
              </w:rPr>
              <w:fldChar w:fldCharType="end"/>
            </w:r>
          </w:hyperlink>
        </w:p>
        <w:p w14:paraId="492EB037" w14:textId="77777777" w:rsidR="000C11B8" w:rsidRDefault="00E74904">
          <w:pPr>
            <w:pStyle w:val="Verzeichnis1"/>
            <w:tabs>
              <w:tab w:val="right" w:leader="dot" w:pos="9062"/>
            </w:tabs>
            <w:rPr>
              <w:rFonts w:asciiTheme="minorHAnsi" w:eastAsiaTheme="minorEastAsia" w:hAnsiTheme="minorHAnsi" w:cstheme="minorBidi"/>
              <w:noProof/>
              <w:lang w:eastAsia="de-DE"/>
            </w:rPr>
          </w:pPr>
          <w:hyperlink w:anchor="_Toc239062707" w:history="1">
            <w:r w:rsidR="000C11B8" w:rsidRPr="0098227C">
              <w:rPr>
                <w:rStyle w:val="Hyperlink"/>
                <w:noProof/>
              </w:rPr>
              <w:t>Fußball-Ikone mit Herz</w:t>
            </w:r>
            <w:r w:rsidR="000C11B8">
              <w:rPr>
                <w:noProof/>
                <w:webHidden/>
              </w:rPr>
              <w:tab/>
            </w:r>
            <w:r w:rsidR="000C11B8">
              <w:rPr>
                <w:noProof/>
                <w:webHidden/>
              </w:rPr>
              <w:fldChar w:fldCharType="begin"/>
            </w:r>
            <w:r w:rsidR="000C11B8">
              <w:rPr>
                <w:noProof/>
                <w:webHidden/>
              </w:rPr>
              <w:instrText xml:space="preserve"> PAGEREF _Toc239062707 \h </w:instrText>
            </w:r>
            <w:r w:rsidR="000C11B8">
              <w:rPr>
                <w:noProof/>
                <w:webHidden/>
              </w:rPr>
            </w:r>
            <w:r w:rsidR="000C11B8">
              <w:rPr>
                <w:noProof/>
                <w:webHidden/>
              </w:rPr>
              <w:fldChar w:fldCharType="separate"/>
            </w:r>
            <w:r w:rsidR="000C11B8">
              <w:rPr>
                <w:noProof/>
                <w:webHidden/>
              </w:rPr>
              <w:t>50</w:t>
            </w:r>
            <w:r w:rsidR="000C11B8">
              <w:rPr>
                <w:noProof/>
                <w:webHidden/>
              </w:rPr>
              <w:fldChar w:fldCharType="end"/>
            </w:r>
          </w:hyperlink>
        </w:p>
        <w:p w14:paraId="1F2B0BCB" w14:textId="77777777" w:rsidR="009A4B15" w:rsidRPr="009A4B15" w:rsidRDefault="00AA6B2B" w:rsidP="009A4B15">
          <w:pPr>
            <w:rPr>
              <w:b/>
            </w:rPr>
          </w:pPr>
          <w:r>
            <w:rPr>
              <w:b/>
              <w:bCs/>
              <w:noProof/>
            </w:rPr>
            <w:fldChar w:fldCharType="end"/>
          </w:r>
        </w:p>
      </w:sdtContent>
    </w:sdt>
    <w:p w14:paraId="51702E1B" w14:textId="77777777" w:rsidR="00C33BD6" w:rsidRDefault="000C11B8">
      <w:pPr>
        <w:pStyle w:val="berschrift1"/>
      </w:pPr>
      <w:bookmarkStart w:id="0" w:name="_Toc239062664"/>
      <w:r>
        <w:t>Renteneintrittsalter darf nicht steigen</w:t>
      </w:r>
      <w:bookmarkEnd w:id="0"/>
    </w:p>
    <w:p w14:paraId="57A5A6F6" w14:textId="77777777" w:rsidR="00C33BD6" w:rsidRDefault="000C11B8">
      <w:pPr>
        <w:pStyle w:val="Standard-Fett"/>
      </w:pPr>
      <w:r>
        <w:t>VdK-Präsidentin Bentele warnt davor, zu viele Hoffnungen auf die neue Kapitalrente zu setzen</w:t>
      </w:r>
    </w:p>
    <w:p w14:paraId="09030D74" w14:textId="77777777" w:rsidR="00C33BD6" w:rsidRDefault="000C11B8">
      <w:pPr>
        <w:pStyle w:val="Vorspann"/>
      </w:pPr>
      <w:r>
        <w:t>Der Sozialverband VdK Deutschland steht den Vorschlägen der Alterssicherungskommission zur Weiterentwicklung der gesetzlichen Rente skeptisch gegenüber. Entscheidend werden die kommenden Monate sein, wenn die Bundesregierung daraus konkrete Gesetze erarbeiten wird.</w:t>
      </w:r>
    </w:p>
    <w:p w14:paraId="5527C5B3" w14:textId="77777777" w:rsidR="00C33BD6" w:rsidRDefault="000C11B8">
      <w:r>
        <w:t xml:space="preserve">Nach den radikalen Kürzungsprogrammen in der Pflege- und Gesundheitspolitik erscheinen die Rentenpläne nach der Bewertung des VdK vergleichsweise konstruktiv. Es sind durchaus positive Elemente in der Kommissionsarbeit zu finden, wie das klare Bekenntnis zu einer Erwerbstätigenversicherung und der Rentenfreibetrag in der Grundsicherung, der viele wirksam vor Altersarmut schützen kann. Auch spricht sich die Kommission nicht mehr pauschal gegen höhere Beiträge und eine paritätische Finanzierung zwischen Arbeitgebern und Arbeitnehmern aus. </w:t>
      </w:r>
    </w:p>
    <w:p w14:paraId="71D84475" w14:textId="77777777" w:rsidR="00C33BD6" w:rsidRDefault="000C11B8">
      <w:r>
        <w:t xml:space="preserve">Der VdK bezweifelt allerdings, dass der Kommissionsvorschlag für ein viel höheres Nettosicherungsniveau von 70 Prozent für alle Generationen realistisch umsetzbar ist. Selbst mit allen vorgestellten rentenpolitischen Maßnahmen werden ältere Jahrgänge nicht von der neuen Kapitalrente profitieren. </w:t>
      </w:r>
    </w:p>
    <w:p w14:paraId="10C733F1" w14:textId="77777777" w:rsidR="00C33BD6" w:rsidRDefault="000C11B8">
      <w:r>
        <w:lastRenderedPageBreak/>
        <w:t>VdK-Präsidentin Verena Bentele erklärt: „Der Bundesregierung und vor allem dem zuständigen Arbeitsministerium wird mit einer solch unverbindlichen Zielvorgabe nicht genügend Handwerkszeug gegeben, um eine realistische Rentenpolitik zu entwickeln. Tatsächlich blickt die Kommission in eine Glaskugel, wenn sie bei der gesetzlichen Rente wieder Kürzungsfaktoren einführt und alle Hoffnungen auf die Kapitalrente setzt.“ Bentele warnt vor den Folgen für die heutigen Rentnerinnen und Rentner und für Menschen, die bald in Rente gehen: „Sie werden von der neuen Kapitalrente kaum oder gar nicht profitieren. Wenn dann die gesetzliche Rente langsamer steigt als die Löhne, verliert sie massiv an Kaufkraft.“</w:t>
      </w:r>
    </w:p>
    <w:p w14:paraId="45206CB5" w14:textId="77777777" w:rsidR="00C33BD6" w:rsidRDefault="000C11B8">
      <w:r>
        <w:t xml:space="preserve">Die Vorschläge zu einer pauschalen Anhebung des Renteneintrittsalters kritisiert der VdK scharf. Dabei könnte eine flexible Gestaltung und die Unterstützung älterer Beschäftigter positiv dazu beitragen, wie die Pläne von der Bevölkerung angenommen werden. </w:t>
      </w:r>
    </w:p>
    <w:p w14:paraId="07F73286" w14:textId="77777777" w:rsidR="00C33BD6" w:rsidRDefault="000C11B8">
      <w:r>
        <w:t>Bentele erklärt: „Komplett tabu muss eine Verschiebung der Altersgrenzen für Menschen mit Schwerbehinderung bleiben. Wenn die Bundesregierung auch hier mit einer steigenden Lebenserwartung für eine Anhebung des Renteneintrittsalters argumentieren sollte, dann wird’s utopisch.“ Die Kommissionsempfehlung für eine allgemeine Anhebung der Altersgrenzen blendet aus, wie zurzeit der Arbeitsmarkt funktioniert. Viele Arbeitgeber nutzen aktuell die Möglichkeit vorgezogener Altersrenten, um wirtschaftliche Transformationsprozesse zu bewältigen und schicken ihre älteren Beschäftigten damit bequem in die Rente.</w:t>
      </w:r>
    </w:p>
    <w:p w14:paraId="3159FF32" w14:textId="77777777" w:rsidR="00C33BD6" w:rsidRDefault="000C11B8">
      <w:r>
        <w:t xml:space="preserve">Der VdK warnt: Eine Anhebung der Altersgrenzen wird die Arbeitsmarktchancen von Menschen über 55 Jahren nicht verbessern. Die Alterssicherungskommission greift damit tief in die Lebensplanung der rentennahen Jahrgänge ein. „Die Bundesregierung muss ihre Pläne an dieser Stelle dringend überarbeiten. Wir setzen uns für unsere Mitglieder im Gesetzgebungsprozess mit aller Kraft für einen sozialen Ausgleich und lange Übergangsfristen ein“, macht Bentele deutlich. </w:t>
      </w:r>
      <w:r>
        <w:rPr>
          <w:b/>
        </w:rPr>
        <w:t>Julia Frediani</w:t>
      </w:r>
    </w:p>
    <w:p w14:paraId="649FE3B3" w14:textId="77777777" w:rsidR="00C33BD6" w:rsidRDefault="000C11B8">
      <w:pPr>
        <w:pStyle w:val="berschrift1"/>
      </w:pPr>
      <w:bookmarkStart w:id="1" w:name="_Toc239062665"/>
      <w:r>
        <w:t>VdK fordert sozial gerechten Hitzeschutz</w:t>
      </w:r>
      <w:bookmarkEnd w:id="1"/>
    </w:p>
    <w:p w14:paraId="64EF2F41" w14:textId="77777777" w:rsidR="00C33BD6" w:rsidRDefault="000C11B8">
      <w:pPr>
        <w:pStyle w:val="Standard-Fett"/>
      </w:pPr>
      <w:r>
        <w:t>Verband legt eigenen Maßnahmenkatalog für besonders vulnerable Gruppen vor</w:t>
      </w:r>
    </w:p>
    <w:p w14:paraId="46F4B9AA" w14:textId="77777777" w:rsidR="00C33BD6" w:rsidRDefault="000C11B8">
      <w:pPr>
        <w:pStyle w:val="Vorspann"/>
      </w:pPr>
      <w:r>
        <w:t>Fast 12 500 hitzebedingte Sterbefälle zwischen April und August 2026 müssen ein Weckruf sein. Der Sozialverband VdK fordert von der Regierung wirksame Konzepte, die vor Hitzefolgen schützen.</w:t>
      </w:r>
    </w:p>
    <w:p w14:paraId="35837B8F" w14:textId="77777777" w:rsidR="00C33BD6" w:rsidRDefault="000C11B8">
      <w:r>
        <w:t xml:space="preserve">„Für viele Menschen ist Hitzeschutz längst kein Komfort mehr, sondern entscheidet über Gesundheit, Selbstständigkeit und im Extremfall über Leben und Tod“, sagt Verena Bentele, Präsidentin des Sozialverbands VdK. Hitze trifft nicht alle Menschen gleichermaßen. Darüber, ob sie zur Lebensgefahr wird, entscheidet häufig nicht allein die Temperatur, sondern die </w:t>
      </w:r>
      <w:r>
        <w:lastRenderedPageBreak/>
        <w:t xml:space="preserve">Lebenssituation. Besonders gefährdet sind ältere Menschen, Menschen mit Behinderung, chronisch Kranke, Pflegebedürftige, Kinder, Schwangere, Haushalte mit wenig Einkommen und Wohnungslose. </w:t>
      </w:r>
    </w:p>
    <w:p w14:paraId="1027FDC3" w14:textId="77777777" w:rsidR="00C33BD6" w:rsidRDefault="000C11B8">
      <w:r>
        <w:t>Der VdK hat einen Maßnahmenkatalog zum Hitzeschutz vorgelegt und verlangt unter anderem öffentliche gekühlte Räume in Kommunen sowie wirksame Hitzeschutzkonzepte in Einrichtungen wie Pflegeheimen, Schulen oder Krankenhäusern. Um vulnerable Menschen bei Hitzewarnungen zu erreichen, sollten datenschutzkonforme, freiwillige, kommunale Register eingeführt werden. Kommunen könnten so alleinlebende oder ältere Menschen informieren und bei Bedarf telefonisch betreuen, Hausbesuche durch kommunale und ehrenamtliche Sozialarbeitende organisieren oder unterstützen. Ergänzt werden sollten diese Maßnahmen durch Hitzetelefone und Unterstützungen bei der Anschaffung von Kühlgeräten.</w:t>
      </w:r>
    </w:p>
    <w:p w14:paraId="693EC906" w14:textId="77777777" w:rsidR="00C33BD6" w:rsidRDefault="000C11B8">
      <w:r>
        <w:t xml:space="preserve">„Sozial gerechter Hitzeschutz ist eine strukturelle Aufgabe der Gesundheits-, Sozial- und Klimapolitik. Entscheidend ist daher, die Rahmenbedingungen so zu gestalten, dass alle Menschen wirksam vor Hitze geschützt sind, unabhängig von Einkommen oder Wohnsituation und unabhängig von ihrer ohnehin herausfordernden gesundheitlichen Lage“, so Bentele.  </w:t>
      </w:r>
      <w:r>
        <w:rPr>
          <w:b/>
        </w:rPr>
        <w:t>Jörg Ciszewski</w:t>
      </w:r>
    </w:p>
    <w:p w14:paraId="28B2EB4F" w14:textId="77777777" w:rsidR="00C33BD6" w:rsidRDefault="000C11B8">
      <w:pPr>
        <w:pStyle w:val="berschrift1"/>
      </w:pPr>
      <w:bookmarkStart w:id="2" w:name="_Toc239062666"/>
      <w:r>
        <w:t>Angst, die Wohnung zu verlieren</w:t>
      </w:r>
      <w:bookmarkEnd w:id="2"/>
    </w:p>
    <w:p w14:paraId="72FA0066" w14:textId="77777777" w:rsidR="00C33BD6" w:rsidRDefault="000C11B8">
      <w:pPr>
        <w:pStyle w:val="Standard-Fett"/>
      </w:pPr>
      <w:r>
        <w:t>VdK: Wohngeldkürzungen treffen besonders arme Menschen</w:t>
      </w:r>
    </w:p>
    <w:p w14:paraId="7BEE4CED" w14:textId="77777777" w:rsidR="00C33BD6" w:rsidRDefault="000C11B8">
      <w:pPr>
        <w:pStyle w:val="Vorspann"/>
      </w:pPr>
      <w:r>
        <w:t xml:space="preserve">Seit das Wohngeld-Plus-Gesetz im Jahr 2023 in Kraft getreten ist, hat sich die Zahl der Empfängerinnen und Empfänger von Wohngeld nahezu verdoppelt: auf aktuell rund 1,2 Millionen Haushalte. Nun plant die Bundesregierung, im Jahr 2027 1,5 Milliarden und im Jahr 2028 zwei Milliarden Euro einzusparen. Der Sozialverband VdK kritisiert dieses Vorhaben scharf. </w:t>
      </w:r>
    </w:p>
    <w:p w14:paraId="000A1451" w14:textId="77777777" w:rsidR="00C33BD6" w:rsidRDefault="000C11B8">
      <w:r>
        <w:t>Der Gesetzentwurf sieht vor, die Heizkostenpauschale zu halbieren und die geplante Erhöhung des Wohngelds zum 1. Januar 2027 auszusetzen. Zudem ist beabsichtigt, künftig einen größeren Anteil des Einkommens anzurechnen. Damit sollen die Ausgaben für das Wohngeld drastisch sinken. Die Änderungen sollen zu Beginn des kommenden Jahres umgesetzt werden.</w:t>
      </w:r>
    </w:p>
    <w:p w14:paraId="1DBA106A" w14:textId="77777777" w:rsidR="00C33BD6" w:rsidRDefault="000C11B8">
      <w:r>
        <w:t xml:space="preserve">Der VdK bewertet die Pläne als fatal. 52 Prozent der Wohngeldbeziehenden sind Rentnerinnen und Rentner und 44 Prozent Familien sowie Alleinerziehende. „Die Menschen leiden unter den hohen Wohnkosten und haben Angst, ihre Wohnung zu verlieren. Werden die Pläne umgesetzt, wird sich deren Not weiter vergrößern“, warnt VdK-Präsidentin Verena Bentele. </w:t>
      </w:r>
    </w:p>
    <w:p w14:paraId="061473B3" w14:textId="77777777" w:rsidR="00C33BD6" w:rsidRDefault="000C11B8">
      <w:pPr>
        <w:pStyle w:val="Zwischentitel"/>
      </w:pPr>
      <w:r>
        <w:t>Massive Einschnitte</w:t>
      </w:r>
    </w:p>
    <w:p w14:paraId="59A75C30" w14:textId="77777777" w:rsidR="00C33BD6" w:rsidRDefault="000C11B8">
      <w:r>
        <w:t>Laut Bundesbauministerin Verena Hubertz wären zukünftig rund ein Drittel der derzeit 1,2 Millionen Wohngeldhaushalte von den Kürzungen betroffen. Haushalte, denen das Wohngeld bereits gewährt wurde, sind vorerst geschützt. Diese Bescheide sollen Bestand haben.</w:t>
      </w:r>
    </w:p>
    <w:p w14:paraId="04888631" w14:textId="77777777" w:rsidR="00C33BD6" w:rsidRDefault="000C11B8">
      <w:r>
        <w:lastRenderedPageBreak/>
        <w:t xml:space="preserve">Schon heute ist absehbar, dass die Wohngeldkürzungen noch mehr Menschen in Grundsicherung und Sozialhilfe drängen werden. Das Bundesbauministerium geht von rund 164 000 Haushalten im Jahr 2029 aus. Auf Bund und Länder kommen dann zusätzliche Kosten in Höhe von mehr als 700 Millionen Euro zu. </w:t>
      </w:r>
    </w:p>
    <w:p w14:paraId="0490B6BC" w14:textId="77777777" w:rsidR="00C33BD6" w:rsidRDefault="000C11B8">
      <w:r>
        <w:t>Während viele Menschen auf Wohngeld angewiesen sind, stehen immer weniger Sozialwohnungen zur Verfügung. Deren Zahl ist auch im vergangenen Jahr weiter zurückgegangen. Nach Angaben der Bundesregierung wurden im Jahr 2025 zwar 27 283 Sozialwohnungen neu gebaut, gleichzeitig fielen aber 57 621 Einheiten aus der Sozialbindung heraus. Bundesweit sollen laut Schätzungen insgesamt etwa eine Million Sozialwohnungen fehlen.</w:t>
      </w:r>
    </w:p>
    <w:p w14:paraId="3EBEEEDD" w14:textId="77777777" w:rsidR="00C33BD6" w:rsidRDefault="000C11B8">
      <w:r>
        <w:t xml:space="preserve">Günstiger Wohnraum ist inzwischen zur Mangelware geworden, und Umzüge in eine bezahlbare Alternative sind vielerorts nahezu unmöglich. Stattdessen treiben hohe Mieten und steigende Energiepreise die Wohnkosten weiter in die Höhe. „Die Reform des Wohngelds trifft vor allem arme Menschen in der Gesellschaft. Altersarmut und Wohnungsnot lassen sich nicht durch Kürzungen verhindern“, so Bentele. </w:t>
      </w:r>
      <w:r>
        <w:rPr>
          <w:b/>
        </w:rPr>
        <w:t>Kristin Enge</w:t>
      </w:r>
    </w:p>
    <w:p w14:paraId="3DDE6056" w14:textId="77777777" w:rsidR="00C33BD6" w:rsidRDefault="000C11B8">
      <w:pPr>
        <w:pStyle w:val="berschrift1"/>
      </w:pPr>
      <w:bookmarkStart w:id="3" w:name="_Toc239062667"/>
      <w:r>
        <w:t>Fachlicher Austausch in Berlin</w:t>
      </w:r>
      <w:bookmarkEnd w:id="3"/>
    </w:p>
    <w:p w14:paraId="1722AB18" w14:textId="77777777" w:rsidR="00C33BD6" w:rsidRDefault="000C11B8">
      <w:pPr>
        <w:pStyle w:val="Standard-Fett"/>
      </w:pPr>
      <w:r>
        <w:t>VdK-Landesverbände treffen Bundesverband</w:t>
      </w:r>
    </w:p>
    <w:p w14:paraId="280A881E" w14:textId="77777777" w:rsidR="00C33BD6" w:rsidRDefault="000C11B8">
      <w:pPr>
        <w:pStyle w:val="Vorspann"/>
      </w:pPr>
      <w:r>
        <w:t>Der Sozialverband VdK Deutschland hatte zum Koordinierungskreis Recht und Sozialpolitik (KoK) eingeladen. Mehr als 30 Fachleute aus dem Bundesverband und den Landesverbänden nahmen an dem Austausch in Berlin teil.</w:t>
      </w:r>
    </w:p>
    <w:p w14:paraId="3714BCEB" w14:textId="77777777" w:rsidR="00C33BD6" w:rsidRDefault="000C11B8">
      <w:r>
        <w:t xml:space="preserve">Vor dem Hintergrund verschiedener sozialpolitischer Reformen standen zahlreiche Themen auf der Agenda, über die beim KoK informiert und diskutiert wurde. Die Expertinnen und Experten aus den Rechtsberatungen und den sozialpolitischen Abteilungen der Landesverbände kamen mit den Fachleuten aus der Bundesrechtsabteilung, der Abteilung Sozialpolitik sowie dem Wissensmanagement des VdK-Bundesverbands ins Gespräch. Dabei ging es um die Ergebnisse der Rentenkommission, das Pflegeneuordnungsgesetz und die Reformen in der Gesundheitspolitik. Darüber hinaus sorgten geplante Kürzungen in der Eingliederungshilfe sowie in der Kinder- und Jugendhilfe für Gesprächsbedarf. Die Bundesrechtsabteilung informierte unter anderem über den Stand der Reform der Verwaltungsgerichtsordnung. </w:t>
      </w:r>
    </w:p>
    <w:p w14:paraId="31A04AEE" w14:textId="77777777" w:rsidR="00C33BD6" w:rsidRDefault="000C11B8">
      <w:r>
        <w:t xml:space="preserve">Beim Austausch über die Rechtsberatung in den Landesverbänden wurde deutlich, dass sich ein Großteil der Mitgliederanfragen auf die Themen Erwerbsminderung, Grad der Behinderung und Pflegegrad bezieht. Diese drei Bereiche bilden damit Schwerpunkte in der Beratung. </w:t>
      </w:r>
      <w:r>
        <w:rPr>
          <w:b/>
        </w:rPr>
        <w:t>cis</w:t>
      </w:r>
    </w:p>
    <w:p w14:paraId="6D6751D8" w14:textId="77777777" w:rsidR="00C33BD6" w:rsidRDefault="000C11B8">
      <w:pPr>
        <w:pStyle w:val="berschrift1"/>
      </w:pPr>
      <w:bookmarkStart w:id="4" w:name="_Toc239062668"/>
      <w:r>
        <w:lastRenderedPageBreak/>
        <w:t>Künftig acht Ausgaben im Jahr</w:t>
      </w:r>
      <w:bookmarkEnd w:id="4"/>
    </w:p>
    <w:p w14:paraId="2FBBACF4" w14:textId="400C3279" w:rsidR="00C33BD6" w:rsidRDefault="000C11B8">
      <w:pPr>
        <w:pStyle w:val="Standard-Fett"/>
      </w:pPr>
      <w:r>
        <w:t>VdK-</w:t>
      </w:r>
      <w:r w:rsidR="00AF31BC">
        <w:t>Zeitung</w:t>
      </w:r>
      <w:r>
        <w:t xml:space="preserve"> passt Erscheinungsweise an</w:t>
      </w:r>
    </w:p>
    <w:p w14:paraId="4DE6CC41" w14:textId="77777777" w:rsidR="00C33BD6" w:rsidRDefault="000C11B8">
      <w:pPr>
        <w:pStyle w:val="Vorspann"/>
      </w:pPr>
      <w:r>
        <w:t xml:space="preserve">Liebe Leserinnen und Leser, die Erscheinungsweise Ihrer VdK-ZEITUNG wird sich aufgrund deutlich gestiegener Versandkosten ab dem kommenden Jahr ändern. Sie erscheint statt zehn- nur noch achtmal im Jahr. </w:t>
      </w:r>
    </w:p>
    <w:p w14:paraId="2A36BB9F" w14:textId="47000B25" w:rsidR="00C33BD6" w:rsidRDefault="000C11B8">
      <w:r>
        <w:t>Der Bundesausschuss des Sozialverbands VdK Deutschland hat beschlossen, dass künftig zwei Ausgaben pro Jahr weniger produziert werden. Anstatt bislang zehn Zeitungen erhalten Sie ab Januar 2027 acht gedruckte Ausgaben der VdK-</w:t>
      </w:r>
      <w:r w:rsidR="00AF31BC">
        <w:t>Zeitung</w:t>
      </w:r>
      <w:r>
        <w:t xml:space="preserve">. </w:t>
      </w:r>
    </w:p>
    <w:p w14:paraId="10C88CB8" w14:textId="440F5447" w:rsidR="00C33BD6" w:rsidRDefault="000C11B8">
      <w:r>
        <w:t>Über das Jahr verteilt, erhalten Sie dann rund alle sechs Wochen eine neue Ausgabe der VdK-</w:t>
      </w:r>
      <w:r w:rsidR="00AF31BC">
        <w:t>Zeitung</w:t>
      </w:r>
      <w:r>
        <w:t xml:space="preserve">. Die bisherigen Pausen im Sommer und Winter werden verkürzt. Hintergrund für diese Veränderung sind die immer stärker steigenden Portokosten der Deutschen Post AG. </w:t>
      </w:r>
    </w:p>
    <w:p w14:paraId="78CB2D08" w14:textId="3CB860C5" w:rsidR="00C33BD6" w:rsidRDefault="000C11B8">
      <w:r>
        <w:t>Der Bundesausschuss hat sich mehrheitlich dafür ausgesprochen, diesem erheblichen Kostendruck entgegenzuwirken. Bei der Anpassung der Erscheinungsweise wird die große Bedeutung der gedruckten VdK-</w:t>
      </w:r>
      <w:r w:rsidR="00AF31BC">
        <w:t>Zeitung</w:t>
      </w:r>
      <w:r>
        <w:t xml:space="preserve"> und die hohe Wertschätzung, die sie bei vielen unserer Mitglieder genießt, berücksichtigt. </w:t>
      </w:r>
    </w:p>
    <w:p w14:paraId="258B82F8" w14:textId="77777777" w:rsidR="00C33BD6" w:rsidRDefault="000C11B8">
      <w:r>
        <w:t xml:space="preserve">Trotz der beschlossenen Ausgabenreduzierung bleibt der Umfang der einzelnen Ausgaben unverändert. In einzelnen Landesausgaben wird der Umfang sogar erweitert. „Damit bleibt gewährleistet, dass auch künftig über alle wichtigen VdK-Themen in bewährter Form informiert werden kann“, erklärt VdK-Bundesgeschäftsführer Andreas Wallenborn diese Veränderung. </w:t>
      </w:r>
    </w:p>
    <w:p w14:paraId="742C2FB2" w14:textId="15D490F0" w:rsidR="00C33BD6" w:rsidRDefault="000C11B8">
      <w:r>
        <w:t>Mit der Einführung des Versands im Umschlag konnte die VdK-</w:t>
      </w:r>
      <w:r w:rsidR="00AF31BC">
        <w:t>Zeitung</w:t>
      </w:r>
      <w:r>
        <w:t xml:space="preserve"> bereits in eine günstigere Porto-Kategorie wechseln. Das reichte jedoch nicht aus, um die aktuellen und die zukünftig zu erwartenden, steigenden Versandkosten ausreichend abzufedern. Daher hat der Bundesausschuss entschieden, die Erscheinungsweise zu reduzieren.</w:t>
      </w:r>
    </w:p>
    <w:p w14:paraId="5E2EA411" w14:textId="0B388CDF" w:rsidR="00C33BD6" w:rsidRDefault="000C11B8">
      <w:r>
        <w:t>Die Redaktion der VdK-</w:t>
      </w:r>
      <w:r w:rsidR="00AF31BC">
        <w:t>Zeitung</w:t>
      </w:r>
      <w:r>
        <w:t xml:space="preserve"> bittet um Ihr Verständnis und bedankt sich herzlich </w:t>
      </w:r>
      <w:proofErr w:type="gramStart"/>
      <w:r>
        <w:t>bei  Ihnen</w:t>
      </w:r>
      <w:proofErr w:type="gramEnd"/>
      <w:r>
        <w:t xml:space="preserve"> als treue Leserschaft! </w:t>
      </w:r>
      <w:r>
        <w:rPr>
          <w:b/>
        </w:rPr>
        <w:t>juf</w:t>
      </w:r>
    </w:p>
    <w:p w14:paraId="3E59094D" w14:textId="77777777" w:rsidR="00C33BD6" w:rsidRDefault="000C11B8">
      <w:pPr>
        <w:pStyle w:val="berschrift1"/>
      </w:pPr>
      <w:bookmarkStart w:id="5" w:name="_Toc239062669"/>
      <w:r>
        <w:t>Aktionen für einen starken Sozialstaat</w:t>
      </w:r>
      <w:bookmarkEnd w:id="5"/>
    </w:p>
    <w:p w14:paraId="78C6A2BD" w14:textId="77777777" w:rsidR="00C33BD6" w:rsidRDefault="000C11B8">
      <w:pPr>
        <w:pStyle w:val="Vorspann"/>
      </w:pPr>
      <w:r>
        <w:t>Der Deutsche Gewerkschaftsbund (DGB) organisiert am 26. September in 15 Städten Demonstrationen und Kundgebungen für einen starken Sozialstaat. Der Sozialverband VdK ruft seine Mitglieder zur Teilnahme auf.</w:t>
      </w:r>
    </w:p>
    <w:p w14:paraId="775E2FB5" w14:textId="77777777" w:rsidR="00C33BD6" w:rsidRDefault="000C11B8">
      <w:r>
        <w:t>Viele Zuschriften an den VdK zeigen: Unter den Mitgliedern gibt es ein großes Bedürfnis, öffentlich gegen die geplanten Kürzungen im Sozialstaat zu protestieren. Der DGB hat die VdK-</w:t>
      </w:r>
      <w:r>
        <w:lastRenderedPageBreak/>
        <w:t>Mitglieder eingeladen, sich an den Demonstrationen unter dem Motto „Hart verdient! Deine Arbeit. Deine Gesundheit. Deine Rente.“ zu beteiligen. In folgenden Städten finden Demonstrationen statt: Berlin, IG-Metall-Haus, 12 Uhr; Bremen, wahrscheinlich Bürgerweide, 11 Uhr; Erfurt, Hauptbahnhof, 10 Uhr; Essen, Burgplatz, 11 Uhr; Frankfurt (Main), Opernplatz, 11 Uhr; Freiburg, Stühlinger Kirchplatz, 12 Uhr; Hamburg, Hauptbahnhof,  10.30 Uhr; Hannover (Ort und Zeit noch offen); Kiel, Rathausplatz, 11:55 Uhr; Leipzig, Volkshaus und Johannisplatz, 10:30 Uhr; Magdeburg (Ort und Zeit noch offen); Nürnberg, Kornmarkt, 12 Uhr; Rostock, (Ort und Zeit noch offen); Saarbrücken, Bürgerpark, 11 Uhr, Stuttgart, Schlossplatz, 11:55 Uhr.</w:t>
      </w:r>
    </w:p>
    <w:p w14:paraId="7359271D" w14:textId="7A0CCFC2" w:rsidR="00C33BD6" w:rsidRDefault="000C11B8">
      <w:r>
        <w:t>Weitere und aktualisierte Informationen veröffentlicht der DGB fortlaufend auf seiner Webseite:</w:t>
      </w:r>
      <w:r w:rsidR="00AF31BC">
        <w:t xml:space="preserve"> </w:t>
      </w:r>
      <w:hyperlink r:id="rId8" w:history="1">
        <w:r w:rsidR="00AF31BC" w:rsidRPr="003701C3">
          <w:rPr>
            <w:rStyle w:val="Hyperlink"/>
          </w:rPr>
          <w:t>www.dgb.de/aktionstag</w:t>
        </w:r>
      </w:hyperlink>
      <w:r w:rsidR="00AF31BC">
        <w:t xml:space="preserve"> </w:t>
      </w:r>
    </w:p>
    <w:p w14:paraId="588B37D1" w14:textId="70F0CBDB" w:rsidR="00AF31BC" w:rsidRDefault="00AF31BC">
      <w:r>
        <w:t xml:space="preserve">Informationen und Materialien auf der VdK-Website: </w:t>
      </w:r>
      <w:hyperlink r:id="rId9" w:history="1">
        <w:r w:rsidRPr="003701C3">
          <w:rPr>
            <w:rStyle w:val="Hyperlink"/>
          </w:rPr>
          <w:t>www.vdk.de/komm-zur-demo</w:t>
        </w:r>
      </w:hyperlink>
      <w:r>
        <w:t xml:space="preserve"> </w:t>
      </w:r>
    </w:p>
    <w:p w14:paraId="7FD4F574" w14:textId="72DC89C4" w:rsidR="00C33BD6" w:rsidRDefault="00AF31BC">
      <w:pPr>
        <w:pStyle w:val="berschrift1"/>
      </w:pPr>
      <w:bookmarkStart w:id="6" w:name="_Toc239062670"/>
      <w:r>
        <w:t xml:space="preserve">Kommentar: </w:t>
      </w:r>
      <w:r w:rsidR="000C11B8">
        <w:t>Skandalöse Investitionen</w:t>
      </w:r>
      <w:bookmarkEnd w:id="6"/>
    </w:p>
    <w:p w14:paraId="27D96C1D" w14:textId="77777777" w:rsidR="00C33BD6" w:rsidRDefault="000C11B8">
      <w:r>
        <w:t>Vor der Sommerpause hat der Bundestag noch ein milliardenschweres Sparpaket für die stark angeschlagenen gesetzlichen Krankenkassen verabschiedet, um die Krankenkassenbeiträge zu stabilisieren. Versicherte müssen demnach für Medikamente und Zahnersatz künftig mehr zuzahlen, und die beitragsfreie Familienversicherung wird eingeschränkt. Insbesondere auf Menschen mit geringem Einkommen, Ältere und chronisch Kranke kommen mit diesem GKV-Sparpaket enorme Belastungen zu.</w:t>
      </w:r>
    </w:p>
    <w:p w14:paraId="5B154982" w14:textId="77777777" w:rsidR="00C33BD6" w:rsidRDefault="000C11B8">
      <w:r>
        <w:t>Dass gerade jetzt ein handfester Finanzskandal die Krankenkassen erschüttert, ist ein verheerendes Signal: Medienberichten zufolge haben mutmaßlich 28 Krankenkassen und Kassenärztliche Vereinigungen insgesamt bis zu 500 Millionen Euro mit riskanten Investitionen in Immobilienfonds verloren.</w:t>
      </w:r>
    </w:p>
    <w:p w14:paraId="5AB1EA2D" w14:textId="77777777" w:rsidR="00C33BD6" w:rsidRDefault="000C11B8">
      <w:r>
        <w:t>Zwar werden manche Verantwortliche angesichts der Milliardenhaushalte der Krankenkassen argumentieren, dieser Verlust sei im Verhältnis gering und hätte die Finanzprobleme ohnehin nicht gelöst. Doch genau diese Haltung wäre extrem problematisch. Denn mit den Beiträgen der Versicherten darf nicht spekuliert werden, nur um höhere Renditen zu erzielen.</w:t>
      </w:r>
    </w:p>
    <w:p w14:paraId="7671940A" w14:textId="77777777" w:rsidR="00C33BD6" w:rsidRDefault="000C11B8">
      <w:r>
        <w:t>Das Bundesamt für Soziale Sicherung macht den gesetzlichen Krankenkassen klare Vorgaben für seriöse Geldanlagen und Vermögensverwaltung. Sollten diese missachtet worden sein, wäre das ein gravierender Verstoß zulasten der Beitragszahlerinnen und Beitragszahler. Das muss Konsequenzen haben. Viele Krankenkassen zeigen, dass wirtschaftliches Handeln auch ohne riskante Spekulationsgeschäfte möglich ist.</w:t>
      </w:r>
    </w:p>
    <w:p w14:paraId="7E493FB6" w14:textId="77777777" w:rsidR="00C33BD6" w:rsidRDefault="000C11B8">
      <w:r>
        <w:t xml:space="preserve">Jetzt sind Transparenz und Aufklärung gefragt. Die betroffenen Krankenkassen müssen offen-​legen, wie es zu den großen Verlusten kommen konnte und welche finanziellen Folgen daraus entstehen. </w:t>
      </w:r>
    </w:p>
    <w:p w14:paraId="5B1E2187" w14:textId="4273683B" w:rsidR="00C33BD6" w:rsidRDefault="000C11B8">
      <w:r>
        <w:t>Die Versicherten haben ein Recht darauf zu erfahren, wie mit ihrem Geld umgegangen wird. Andernfalls droht ein Vertrauensverlust, der weit über die betroffenen Krankenkassen hinaus das gesamte Gesundheitssystem beschädigen könnte.</w:t>
      </w:r>
      <w:r w:rsidR="00AF31BC">
        <w:t xml:space="preserve"> </w:t>
      </w:r>
      <w:r w:rsidR="00AF31BC" w:rsidRPr="00AF31BC">
        <w:rPr>
          <w:b/>
        </w:rPr>
        <w:t>Verena Bentele, VdK-Präsidentin</w:t>
      </w:r>
    </w:p>
    <w:p w14:paraId="2DF90DFD" w14:textId="77777777" w:rsidR="00C33BD6" w:rsidRDefault="000C11B8">
      <w:pPr>
        <w:pStyle w:val="berschrift1"/>
      </w:pPr>
      <w:bookmarkStart w:id="7" w:name="_Toc239062671"/>
      <w:r>
        <w:lastRenderedPageBreak/>
        <w:t>Bessere Unterstützung für Opfer von Gewalttaten</w:t>
      </w:r>
      <w:bookmarkEnd w:id="7"/>
    </w:p>
    <w:p w14:paraId="317AA246" w14:textId="551F4FF7" w:rsidR="00B21AF1" w:rsidRDefault="000C11B8" w:rsidP="00E74904">
      <w:pPr>
        <w:pStyle w:val="Standard-Fett"/>
      </w:pPr>
      <w:r>
        <w:t>Interview: Das neue Soziale Entschädigungsrecht bietet umfassende Leistungen, die vielen Betroffenen nicht bekannt sind</w:t>
      </w:r>
    </w:p>
    <w:p w14:paraId="2BE7EF02" w14:textId="084DDB8F" w:rsidR="00C33BD6" w:rsidRDefault="000C11B8">
      <w:pPr>
        <w:pStyle w:val="Vorspann"/>
      </w:pPr>
      <w:r>
        <w:t xml:space="preserve">Mit der Reform des Sozialen Entschädigungsrechts (SER) haben sich gerade für Personen, die ab dem 1. Januar 2024 Opfer von Gewalttaten geworden sind, und für deren Angehörige wesentliche Änderungen ergeben. Die </w:t>
      </w:r>
      <w:r w:rsidR="00E74904">
        <w:t>VdK-Zeitung</w:t>
      </w:r>
      <w:r>
        <w:t xml:space="preserve"> hat mit Dr. Christian Weber und Thomas Kerner von der Bundesarbeitsgemeinschaft der Inklusionsämter und Hilfen der Sozialen Entschädigung (BIH) darüber gesprochen, wer welche Hilfen in Anspruch nehmen kann und wie diese beantragt werden.</w:t>
      </w:r>
    </w:p>
    <w:p w14:paraId="7BC8DA78" w14:textId="77777777" w:rsidR="00C33BD6" w:rsidRDefault="000C11B8">
      <w:pPr>
        <w:pStyle w:val="Interview-Frage"/>
      </w:pPr>
      <w:r>
        <w:t>Warum trat 2024 das neue Soziale Entschädigungsrecht (SER) in Kraft und was ist das Ziel?</w:t>
      </w:r>
    </w:p>
    <w:p w14:paraId="63721704" w14:textId="77777777" w:rsidR="00C33BD6" w:rsidRDefault="000C11B8">
      <w:r>
        <w:t xml:space="preserve">Dr. Christian Weber: Der Absturz des Germanwings-Flugzeugs im März 2015 mit 150 Todesopfern und der Terroranschlag auf dem Berliner Breitscheidplatz im Dezember 2016 haben deutlich gemacht: Das bisherige Soziale Entschädigungsrecht wurde den Bedürfnissen von Gewaltopfern und ihren Angehörigen nicht mehr gerecht. Leistungen wurden oft erst nach langer Zeit bewilligt, zudem waren einige Geldleistungen zu niedrig. Mit dem neuen Sozialen Entschädigungsrecht (SGB XIV), das 2024 in Kraft getreten ist, sind deshalb Leistungen deutlich verbessert und der Zugang zu sogenannten Schnellen Hilfen vereinfacht worden. </w:t>
      </w:r>
    </w:p>
    <w:p w14:paraId="2AE9E42C" w14:textId="77777777" w:rsidR="00C33BD6" w:rsidRDefault="000C11B8">
      <w:r>
        <w:t>Gleichzeitig wurde der Kreis der erfassten Gewalttaten erweitert. Neben körperlicher Gewalt fallen nun auch psychische Gewalttaten wie Stalking, erhebliche Vernachlässigung von Kindern sowie die Herstellung, Verbreitung und Zugänglichmachung von Kinderpornografie unter das Gesetz.</w:t>
      </w:r>
    </w:p>
    <w:p w14:paraId="69E33F27" w14:textId="77777777" w:rsidR="00C33BD6" w:rsidRDefault="000C11B8">
      <w:pPr>
        <w:pStyle w:val="Interview-Frage"/>
      </w:pPr>
      <w:r>
        <w:t>Warum wird das SER noch nicht in größerem Maß in Anspruch genommen?</w:t>
      </w:r>
    </w:p>
    <w:p w14:paraId="4DFAACD5" w14:textId="77777777" w:rsidR="00C33BD6" w:rsidRDefault="000C11B8">
      <w:r>
        <w:t>Weber: Aus meiner Sicht liegt das vor allem daran, dass es viele Menschen nicht kennen und deshalb gar nicht wissen, dass sie Anspruch auf Unterstützung hätten. Hinzu kommt die Sorge vieler Betroffener, ihnen werde nicht geglaubt oder das Verfahren sei für sie zu belastend. Wir möchten deutlich machen, dass wir Betroffene sensibel begleiten und ihnen möglichst unkompliziert helfen wollen.</w:t>
      </w:r>
    </w:p>
    <w:p w14:paraId="24C55646" w14:textId="77777777" w:rsidR="00C33BD6" w:rsidRDefault="000C11B8">
      <w:r>
        <w:t xml:space="preserve">Kerner: Wichtig wäre, dass Beratungsstellen, soziale Dienste sowie Ärztinnen, Ärzte und Therapeutinnen und Therapeuten das SER stärker in ihre Beratung einbeziehen und darauf hinweisen, dass es ein weiteres umfangreiches Leistungs- und Unterstützungssystem für Opfer </w:t>
      </w:r>
      <w:r>
        <w:lastRenderedPageBreak/>
        <w:t xml:space="preserve">von Gewalttaten gibt. Solche Hinweise sind entscheidend, damit Betroffene die Unterstützung erhalten, die ihnen zusteht. </w:t>
      </w:r>
    </w:p>
    <w:p w14:paraId="418B8EAD" w14:textId="77777777" w:rsidR="00C33BD6" w:rsidRDefault="000C11B8">
      <w:r>
        <w:t xml:space="preserve">Weber: Einige Bundesländer ermöglichen eine Antragstellung unter </w:t>
      </w:r>
      <w:hyperlink r:id="rId10">
        <w:r>
          <w:rPr>
            <w:color w:val="0015B7"/>
          </w:rPr>
          <w:t>www.sozialplattform.de.</w:t>
        </w:r>
      </w:hyperlink>
      <w:r>
        <w:t xml:space="preserve"> Dort können online Anträge ausgefüllt und versendet werden. Angebote dieser Art werden noch erweitert und sollen den Zugang zu den Leistungen vereinfachen.</w:t>
      </w:r>
    </w:p>
    <w:p w14:paraId="21ED551F" w14:textId="77777777" w:rsidR="00C33BD6" w:rsidRDefault="000C11B8">
      <w:pPr>
        <w:pStyle w:val="Interview-Frage"/>
      </w:pPr>
      <w:r>
        <w:t xml:space="preserve">Können Sie Beispiele nennen, welche Personen einen Anspruch auf Leistungen des SER haben? </w:t>
      </w:r>
    </w:p>
    <w:p w14:paraId="28E74AAC" w14:textId="77777777" w:rsidR="00C33BD6" w:rsidRDefault="000C11B8">
      <w:r>
        <w:t>Thomas Kerner: Anspruchsberechtigt sind zunächst Menschen, die Opfer einer körperlichen oder psychischen Gewalttat geworden sind. Zudem können deren Angehörige sowie Hinterbliebene Leistungen erhalten, wenn die geschädigte Person infolge der Gewalttat verstorben ist. Weniger bekannt ist, dass auch Geschwister oder Partnerinnen und Partner in eheähnlichen Lebensgemeinschaften unter bestimmten Voraussetzungen Leistungen erhalten können.</w:t>
      </w:r>
    </w:p>
    <w:p w14:paraId="4C287C1B" w14:textId="77777777" w:rsidR="00C33BD6" w:rsidRDefault="000C11B8">
      <w:r>
        <w:t>Gerade bei Großschadensereignissen zeigt sich, wie breit das neue SER aufgestellt ist. Es ermöglicht, Betroffene, Angehörige und Hinterbliebene schnell und bedarfsgerecht zu unterstützen, zum Beispiel durch Fallmanagement oder Behandlungen in Traumaambulanzen.</w:t>
      </w:r>
    </w:p>
    <w:p w14:paraId="482DE68F" w14:textId="77777777" w:rsidR="00C33BD6" w:rsidRDefault="000C11B8">
      <w:r>
        <w:t>Weber: Die Vorteile des neuen Rechts zeigen sich aber nicht nur bei Großschadensereignissen. Auch nach sexualisierter oder häuslicher Gewalt können wir Betroffene und ihre Angehörigen schnell und unbürokratisch unterstützen. Viele Betroffene gehen fälschlicherweise davon aus, dass Leistungen erst nach einem Strafverfahren möglich sind. Das stimmt nicht. Ein Strafverfahren ist keine Voraussetzung. Unsere Fallmanagerinnen und Fallmanager beraten sensibel, helfen dabei, den individuellen Unterstützungsbedarf zu ermitteln, und vermitteln auch Leistungen anderer Sozialleistungsträger. Je früher Betroffene Kontakt aufnehmen, desto schneller können Hilfen greifen. Gleichzeitig ist uns bewusst, wie schwer es vielen Menschen fällt, über das Erlebte zu sprechen. Deshalb gibt es im SER bewusst keine Antragsfristen.</w:t>
      </w:r>
    </w:p>
    <w:p w14:paraId="23F2D21E" w14:textId="77777777" w:rsidR="00C33BD6" w:rsidRDefault="000C11B8">
      <w:pPr>
        <w:pStyle w:val="Interview-Frage"/>
      </w:pPr>
      <w:r>
        <w:t>Welche Leistungen stehen den Betroffenen zur Verfügung?</w:t>
      </w:r>
    </w:p>
    <w:p w14:paraId="35739E65" w14:textId="77777777" w:rsidR="00C33BD6" w:rsidRDefault="000C11B8">
      <w:r>
        <w:t xml:space="preserve">Kerner: Das SER umfasst Sach-, Geld- und Dienstleistungen. Anspruch haben neben den direkt betroffenen Personen auch Menschen, die eine Gewalttat miterlebt haben und dadurch psychisch belastet sind, ohne selbst körperlich verletzt worden zu sein. Zu den Leistungen gehören neben dem Fallmanagement und der Betreuung in Traumaambulanzen auch Krankenbehandlung, Leistungen zur Teilhabe an Bildung, am Arbeitsleben und am sozialen Leben, Leistungen bei Pflegebedürftigkeit oder Blindheit sowie Entschädigungszahlungen. </w:t>
      </w:r>
    </w:p>
    <w:p w14:paraId="2F9045D6" w14:textId="77777777" w:rsidR="00C33BD6" w:rsidRDefault="000C11B8">
      <w:r>
        <w:t>Weber: Vorrangiges Ziel ist es, die gesundheitlichen Folgen einer Gewalttat durch medizinische Behandlung, Rehabilitation und Teilhabeleistungen möglichst vollständig zu beseitigen und den Betroffenen die Rückkehr in den Alltag zu ermöglichen. Das Leistungsspektrum geht über die Leistungen der gesetzlichen Krankenversicherung hinaus. Wenn trotz aller Maßnahmen dauerhafte gesundheitliche oder psychische Beeinträchtigungen verbleiben, erfolgen monatliche Entschädigungszahlungen.</w:t>
      </w:r>
    </w:p>
    <w:p w14:paraId="4CD3DE9C" w14:textId="77777777" w:rsidR="00C33BD6" w:rsidRDefault="000C11B8">
      <w:pPr>
        <w:pStyle w:val="Interview-Frage"/>
      </w:pPr>
      <w:r>
        <w:t>Wie und wo kann man einen Antrag auf Entschädigung stellen?</w:t>
      </w:r>
    </w:p>
    <w:p w14:paraId="770FE587" w14:textId="77777777" w:rsidR="00C33BD6" w:rsidRDefault="000C11B8">
      <w:r>
        <w:t xml:space="preserve">Kerner: Ein Antrag kann grundsätzlich formlos telefonisch oder per E-Mail bei der zuständigen Behörde gestellt werden. Bereits vor der Antragstellung sind telefonische Beratungen möglich. </w:t>
      </w:r>
      <w:r>
        <w:lastRenderedPageBreak/>
        <w:t xml:space="preserve">Über die Webseite der Bundesarbeitsgemeinschaft der Inklusionsämter und Hilfen in der Sozialen Entschädigung können die zuständigen Behörden der einzelnen Bundesländer ermittelt werden. </w:t>
      </w:r>
    </w:p>
    <w:p w14:paraId="37E56A99" w14:textId="77777777" w:rsidR="00C33BD6" w:rsidRDefault="000C11B8">
      <w:r>
        <w:t>Weber: Auch wenn der Antrag zunächst formlos gestellt werden kann, werden Antragstellerinnen und Antragsteller anschließend gebeten, ausführlichere Formulare auszufüllen.</w:t>
      </w:r>
    </w:p>
    <w:p w14:paraId="7737417A" w14:textId="77777777" w:rsidR="00C33BD6" w:rsidRDefault="000C11B8">
      <w:r>
        <w:t>Kerner: Werden diese Formulare vollständig ausgefüllt und aktuelle medizinische Unterlagen beigefügt, kann das Verfahren häufig deutlich beschleunigt werden. Sowohl die Fallmanagerinnen und Fallmanager als auch die zuständigen Sachbearbeiterinnen und Sachbearbeiter können beim Ausfüllen der Formulare unterstützen.</w:t>
      </w:r>
    </w:p>
    <w:p w14:paraId="1DD7D39E" w14:textId="77777777" w:rsidR="00C33BD6" w:rsidRDefault="000C11B8">
      <w:pPr>
        <w:pStyle w:val="Interview-Frage"/>
      </w:pPr>
      <w:r>
        <w:t>Wie läuft das Antragsverfahren?</w:t>
      </w:r>
    </w:p>
    <w:p w14:paraId="7BDE1642" w14:textId="77777777" w:rsidR="00C33BD6" w:rsidRDefault="000C11B8">
      <w:r>
        <w:t>Weber: Nach Antragseingang wird umfassend geprüft, welche Hilfsbedarfe bestehen und welche Leistungen sinnvoll miteinander kombiniert werden können.</w:t>
      </w:r>
    </w:p>
    <w:p w14:paraId="1208D538" w14:textId="77777777" w:rsidR="00C33BD6" w:rsidRDefault="000C11B8">
      <w:r>
        <w:t>Kerner: Wichtig ist, dass die geltend gemachte Gewalttat nachgewiesen ist. Die Ergebnisse eines Strafverfahrens können dabei hilfreich sein, weil die Strafverfolgungsbehörden weitergehende Ermittlungsbefugnisse haben. Aber es ist keine Voraussetzung für die Bewilligung von Leistungen.</w:t>
      </w:r>
    </w:p>
    <w:p w14:paraId="77E886E7" w14:textId="77777777" w:rsidR="00C33BD6" w:rsidRDefault="000C11B8">
      <w:r>
        <w:t>Weber: Wer sich zunächst nicht in der Lage fühlt, das gesamte Verfahren zu durchlaufen, kann unabhängig vom eigentlichen Antragsverfahren direkt die Angebote der Traumaambulanzen nutzen. Hier hat der Gesetzgeber bewusst einen besonders niedrigschwelligen Zugang geschaffen.</w:t>
      </w:r>
    </w:p>
    <w:p w14:paraId="2E8C49A6" w14:textId="77777777" w:rsidR="00C33BD6" w:rsidRDefault="000C11B8">
      <w:pPr>
        <w:pStyle w:val="Interview-Frage"/>
      </w:pPr>
      <w:r>
        <w:t xml:space="preserve">Das Fallmanagement und die Traumaambulanzen spielen eine zentrale Rolle. Wie muss man sich diese Hilfen konkret vorstellen? </w:t>
      </w:r>
    </w:p>
    <w:p w14:paraId="56F2375A" w14:textId="77777777" w:rsidR="00C33BD6" w:rsidRDefault="000C11B8">
      <w:r>
        <w:t>Kerner: Nach einer schweren Gewalttat wie einem sexuellen Übergriff leiden viele Betroffene unter Konzentrationsproblemen, Flashbacks, Schlafstörungen, Angst- oder Panikattacken sowie Vermeidungsverhalten. Für diese Menschen gibt es in den Bundesländern an verschiedenen Standorten Traumaambulanzen. Dort können sich Betroffene ohne vorherigen Antrag melden und erhalten in der Regel innerhalb weniger Tage einen Termin. Auf Wunsch unterstützt auch das Fallmanagement bei der Terminvermittlung.</w:t>
      </w:r>
    </w:p>
    <w:p w14:paraId="25424D91" w14:textId="77777777" w:rsidR="00C33BD6" w:rsidRDefault="000C11B8">
      <w:r>
        <w:t>Weber: In den Traumaambulanzen stehen Erwachsenen bis zu 15 Sitzungen, Kindern und Jugendlichen bis zu 18 Sitzungen zur Verfügung. Speziell geschulte Ärztinnen, Ärzte und Therapeutinnen beziehungsweise Therapeuten helfen dabei, die psychischen Belastungen zu reduzieren und die Betroffenen zu stabilisieren.</w:t>
      </w:r>
    </w:p>
    <w:p w14:paraId="7BA66D4B" w14:textId="77777777" w:rsidR="00C33BD6" w:rsidRDefault="000C11B8">
      <w:r>
        <w:t xml:space="preserve">Kerner: Ergänzend kann das Fallmanagement auch ohne vorherige Antragstellung in Anspruch genommen werden. Gemeinsam mit den Betroffenen werden in sensiblen Gesprächen Unterstützungsbedarfe ermittelt und, falls erforderlich, weitere Hilfen anderer Leistungsträger wie der Arbeitsagentur, der Renten- oder Unfallversicherung einbezogen. </w:t>
      </w:r>
    </w:p>
    <w:p w14:paraId="3ABBCA3C" w14:textId="77777777" w:rsidR="00C33BD6" w:rsidRDefault="000C11B8">
      <w:r>
        <w:t xml:space="preserve">Bestehen dauerhaft gesundheitliche Folgen, können monatliche Entschädigungszahlungen gewährt werden. Die Höhe richtet sich nach dem Grad der Schädigungsfolgen (GdS) zwischen 30 </w:t>
      </w:r>
      <w:r>
        <w:lastRenderedPageBreak/>
        <w:t>und 100. Diese monatliche Leistung wird nicht auf Sozialleistungen wie Bürgergeld, Leistungen der Arbeitsagentur oder Renten angerechnet.</w:t>
      </w:r>
    </w:p>
    <w:p w14:paraId="514A4087" w14:textId="77777777" w:rsidR="00C33BD6" w:rsidRDefault="000C11B8">
      <w:r>
        <w:rPr>
          <w:b/>
        </w:rPr>
        <w:t>Interview: Jörg Ciszewski</w:t>
      </w:r>
    </w:p>
    <w:p w14:paraId="289A67FE" w14:textId="77777777" w:rsidR="00C33BD6" w:rsidRDefault="000C11B8">
      <w:pPr>
        <w:pStyle w:val="berschrift1"/>
      </w:pPr>
      <w:bookmarkStart w:id="8" w:name="_Toc239062672"/>
      <w:r>
        <w:t>Eine Rentenreform geht gerechter</w:t>
      </w:r>
      <w:bookmarkEnd w:id="8"/>
    </w:p>
    <w:p w14:paraId="469432CC" w14:textId="77777777" w:rsidR="00C33BD6" w:rsidRDefault="000C11B8">
      <w:pPr>
        <w:pStyle w:val="Standard-Fett"/>
      </w:pPr>
      <w:r>
        <w:t>VdK-Präsidentin Verena Bentele arbeitet in der DGB-Rentenkommission an einem zukunftsfähigen Alterssicherungskonzept mit</w:t>
      </w:r>
    </w:p>
    <w:p w14:paraId="3E6D8670" w14:textId="77777777" w:rsidR="00C33BD6" w:rsidRDefault="000C11B8">
      <w:pPr>
        <w:pStyle w:val="Vorspann"/>
      </w:pPr>
      <w:r>
        <w:t>Wie kann eine sozial gerechte Alterssicherung gestaltet sein? VdK-Präsidentin Verena Bentele hat in der DGB-Rentenkommission zusammen mit Fachleuten Vorschläge für eine zukunftsfähige Alterssicherung entwickelt. Das Konzept empfiehlt sie der Bundesregierung als Pflichtlektüre.</w:t>
      </w:r>
    </w:p>
    <w:p w14:paraId="0ACB57B9" w14:textId="77777777" w:rsidR="00C33BD6" w:rsidRDefault="000C11B8">
      <w:r>
        <w:t xml:space="preserve">In Zeiten des Sozialabbaus setzt der Sozialverband VdK auf eine enge Zusammenarbeit mit den Gewerkschaften. Verena Bentele hat auf Einladung des DGB in einer Rentenkommission mitgewirkt, die ein tragfähiges Alterssicherungssystem erarbeitet hat – als Gegenentwurf zu den Vorschlägen der Alterssicherungskommission der Bundesregierung. </w:t>
      </w:r>
    </w:p>
    <w:p w14:paraId="35F1104D" w14:textId="77777777" w:rsidR="00C33BD6" w:rsidRDefault="000C11B8">
      <w:r>
        <w:t xml:space="preserve">In vielen Gremiensitzungen mit Vertreterinnen und Vertretern von Gewerkschaften, Wissenschaftlerinnen, Politikern und Juristinnen hat Bentele die Perspektive der Sozialverbände eingebracht. Das Konzept der DGB-Rentenkommission wurde nun vorgestellt. </w:t>
      </w:r>
    </w:p>
    <w:p w14:paraId="7C0B275F" w14:textId="77777777" w:rsidR="00C33BD6" w:rsidRDefault="000C11B8">
      <w:pPr>
        <w:pStyle w:val="Zwischentitel"/>
      </w:pPr>
      <w:r>
        <w:t>Arbeitsmarkt im Blick</w:t>
      </w:r>
    </w:p>
    <w:p w14:paraId="52F259B4" w14:textId="77777777" w:rsidR="00C33BD6" w:rsidRDefault="000C11B8">
      <w:r>
        <w:t>Die Empfehlungen verfolgen einen anderen Ansatz als die Vorschläge der Alterssicherungskommission der Regierung. Der demografische Wandel wird nicht als Krise verstanden, die nur durch ein höheres Rentenalter oder Kapitaldeckung zu bewältigen ist. Für die DGB-Rentenkommission ist vielmehr entscheidend, Erwerbstätigkeit und Produktivität zu stärken und den erwirtschafteten Wohlstand gerecht zu verteilen. Dafür empfiehlt sie eine stärkere Tarifbindung, einen armutsfesten Mindestlohn, die Eindämmung des Niedriglohnsektors und die Schließung der Lohnlücke zwischen Frauen und Männern. So würde die Alterssicherung besser vor Armut schützen. Außerdem regt die Kommission an, die Grundrente zu reformieren und den Zuschlag leichter zugänglich zu machen.</w:t>
      </w:r>
    </w:p>
    <w:p w14:paraId="36682156" w14:textId="77777777" w:rsidR="00C33BD6" w:rsidRDefault="000C11B8">
      <w:r>
        <w:t xml:space="preserve">Statt einer risikoreichen Aktienrente wird eine verpflichtende Betriebsrente vorgeschlagen, in die Arbeitgeber zwei Prozent des Bruttolohns einzahlen. Diese sollte auch vor Erwerbsminderung und Inflation schützen und Hinterbliebene absichern. </w:t>
      </w:r>
    </w:p>
    <w:p w14:paraId="53D3BD01" w14:textId="77777777" w:rsidR="00C33BD6" w:rsidRDefault="000C11B8">
      <w:r>
        <w:t xml:space="preserve">Wichtig ist dem Gremium, dass älteren Beschäftigten nicht über höhere Altersgrenzen immer mehr abverlangt wird. Längeres Arbeiten sollte stattdessen durch altersgerechte und barrierefreie Arbeitsplätze ermöglicht werden. </w:t>
      </w:r>
    </w:p>
    <w:p w14:paraId="7D06A441" w14:textId="77777777" w:rsidR="00C33BD6" w:rsidRDefault="000C11B8">
      <w:r>
        <w:lastRenderedPageBreak/>
        <w:t>Bentele hat insbesondere zu den Themen Reha, Erwerbsminderung und Maßnahmen gegen Altersarmut gearbeitet. „Nach Auffassung der Kommission ist es notwendig, dass auch Menschen mit Brüchen in ihrer Erwerbsbiografie im Alter abgesichert sind und nicht in die Altersarmut abstürzen“, erklärt die VdK-Präsidentin. Das passiere etwa, wenn das Einkommen sinkt, weil jemand wegen der Pflege der Eltern nicht mehr in Vollzeit arbeiten kann oder wenn hohe Abschläge drohen, weil die Gesundheit nicht bis zur Rente mitmacht. Prävention, Rehabilitation und berufliche Wiedereingliederung müssen daher besser zwischen Rentenversicherung, Krankenkassen, Arbeitsagenturen, Jobcentern und Betrieben abgestimmt werden.</w:t>
      </w:r>
    </w:p>
    <w:p w14:paraId="02D84A1A" w14:textId="77777777" w:rsidR="00C33BD6" w:rsidRDefault="000C11B8">
      <w:pPr>
        <w:pStyle w:val="Zwischentitel"/>
      </w:pPr>
      <w:r>
        <w:t>Gesamtkonzept kommt</w:t>
      </w:r>
    </w:p>
    <w:p w14:paraId="3E9F7DEB" w14:textId="77777777" w:rsidR="00C33BD6" w:rsidRDefault="000C11B8">
      <w:r>
        <w:t xml:space="preserve">„Statt Armut im Alter kleinzureden, haben wir konkrete Vorschläge entwickelt, wie Zeiten der Kindererziehung, der Krankheit, der Pflege, aber auch der Arbeitslosigkeit besser für die Rente bewertet werden“, erklärt die VdK-Präsidentin. Das ausführlichere Gesamtkonzept der DGB-Rentenkommission soll demnächst veröffentlicht werden. </w:t>
      </w:r>
      <w:r>
        <w:rPr>
          <w:b/>
        </w:rPr>
        <w:t xml:space="preserve">Jörg Ciszewski </w:t>
      </w:r>
    </w:p>
    <w:p w14:paraId="07AE7C3D" w14:textId="77777777" w:rsidR="00C33BD6" w:rsidRDefault="000C11B8">
      <w:pPr>
        <w:pStyle w:val="berschrift1"/>
      </w:pPr>
      <w:bookmarkStart w:id="9" w:name="_Toc239062673"/>
      <w:r>
        <w:t>Angehörige nicht stärker belasten</w:t>
      </w:r>
      <w:bookmarkEnd w:id="9"/>
    </w:p>
    <w:p w14:paraId="4BE0EECD" w14:textId="77777777" w:rsidR="00C33BD6" w:rsidRDefault="000C11B8">
      <w:pPr>
        <w:pStyle w:val="Standard-Fett"/>
      </w:pPr>
      <w:r>
        <w:t>VdK lehnt Streichung von Einkommensgrenze ab</w:t>
      </w:r>
    </w:p>
    <w:p w14:paraId="0F36029F" w14:textId="77777777" w:rsidR="00C33BD6" w:rsidRDefault="000C11B8">
      <w:pPr>
        <w:pStyle w:val="Vorspann"/>
      </w:pPr>
      <w:r>
        <w:t>Das Bundesgesundheitsministerium plant, Familienangehörige stärker an den Pflegekosten zu beteiligen. Der Sozialverband VdK fordert, an der Einkommensgrenze von 100 000 Euro festzuhalten.</w:t>
      </w:r>
    </w:p>
    <w:p w14:paraId="260F4091" w14:textId="77777777" w:rsidR="00C33BD6" w:rsidRDefault="000C11B8">
      <w:r>
        <w:t xml:space="preserve">Die Kosten für einen Pflegeheimplatz sind in den vergangenen Jahren stark gestiegen. Der Eigenanteil für das erste Jahr in einer Pflegeeinrichtung liegt derzeit bundesweit bei durchschnittlich rund 3360 Euro. Viele Heimbewohnerinnen und -bewohner können das nicht aus eigener Tasche bezahlen. Rund 36 Prozent erhalten deshalb „Hilfe zur Pflege“. </w:t>
      </w:r>
    </w:p>
    <w:p w14:paraId="322CB3FF" w14:textId="77777777" w:rsidR="00C33BD6" w:rsidRDefault="000C11B8">
      <w:r>
        <w:t>Dabei handelt es sich um eine Sozialleistung, die aus dem kommunalen Haushalt finanziert wird. Bundesgesundheitsministerin Warken will die Kommunen entlasten, indem Angehörige von Pflegebedürftigen wieder stärker an den Pflegekosten beteiligt werden. Sie plant daher, das Angehörigenentlastungsgesetz aus dem Jahr 2020 rückgängig zu machen. Das Gesetz regelt, dass Angehörige mit einem jährlichen Bruttoeinkommen von weniger als 100 000 Euro nicht für die pflegebedingten Kosten der Eltern aufkommen müssen.</w:t>
      </w:r>
    </w:p>
    <w:p w14:paraId="780215C0" w14:textId="77777777" w:rsidR="00C33BD6" w:rsidRDefault="000C11B8">
      <w:pPr>
        <w:pStyle w:val="Zwischentitel"/>
      </w:pPr>
      <w:r>
        <w:t>Aufgabe der Gesellschaft</w:t>
      </w:r>
    </w:p>
    <w:p w14:paraId="030957F8" w14:textId="77777777" w:rsidR="00C33BD6" w:rsidRDefault="000C11B8">
      <w:r>
        <w:t xml:space="preserve">Der VdK lehnt die geplante Streichung der Einkommensgrenze ab. „Pflegebedürftigkeit ist eine gesamtgesellschaftliche Aufgabe, die solidarisch finanziert werden sollte, denn die Belastungen können sehr ungleich verteilt sein“, sagt VdK-Präsidentin Verena Bentele. Es gebe Familien, bei denen beide Elternteile an Demenz erkrankt seien. Andere hätten keinen Pflegefall. „Daher ist es eine Frage der Gerechtigkeit, dass die Pflegekosten bis zu einer bestimmten Summe von der gesamten Gesellschaft geschultert und nicht einzelnen Familien aufgebürdet werden.“ Die </w:t>
      </w:r>
      <w:r>
        <w:lastRenderedPageBreak/>
        <w:t xml:space="preserve">Abschaffung der Einkommensgrenze würde dazu führen, dass sich Angehörige erneut bürokratisch aufwendigen Bedürftigkeitsprüfungen unterziehen müssten. „Der Einspareffekt für die Kommunen wäre am Ende sehr überschaubar“, so Bentele. </w:t>
      </w:r>
      <w:r>
        <w:rPr>
          <w:b/>
        </w:rPr>
        <w:t>cis</w:t>
      </w:r>
    </w:p>
    <w:p w14:paraId="18808A41" w14:textId="77777777" w:rsidR="00C33BD6" w:rsidRDefault="000C11B8">
      <w:pPr>
        <w:pStyle w:val="berschrift1"/>
      </w:pPr>
      <w:bookmarkStart w:id="10" w:name="_Toc239062674"/>
      <w:r>
        <w:t>Drastische Kürzungen auf Kosten der Teilhabe</w:t>
      </w:r>
      <w:bookmarkEnd w:id="10"/>
    </w:p>
    <w:p w14:paraId="1644AC32" w14:textId="77777777" w:rsidR="00C33BD6" w:rsidRDefault="000C11B8">
      <w:pPr>
        <w:pStyle w:val="Standard-Fett"/>
      </w:pPr>
      <w:r>
        <w:t>Offener Brief an Merz kritisiert Sparpläne bei der Eingliederungshilfe</w:t>
      </w:r>
    </w:p>
    <w:p w14:paraId="638EB6B4" w14:textId="77777777" w:rsidR="00C33BD6" w:rsidRDefault="000C11B8">
      <w:pPr>
        <w:pStyle w:val="Vorspann"/>
      </w:pPr>
      <w:r>
        <w:t>Der Sozialverband VdK sieht die geplanten Kürzungen in der Eingliederungshilfe mit großer Sorge und richtet einen Appell an die Politik: Anstatt gesellschaftliche Teilhabe von Menschen mit Behinderung dem Spardruck zu opfern, muss sich die angekündigte Reform an Vorgaben des Grundgesetzes und der UN-Behindertenrechtskonvention ausrichten.</w:t>
      </w:r>
    </w:p>
    <w:p w14:paraId="75040E99" w14:textId="77777777" w:rsidR="00C33BD6" w:rsidRDefault="000C11B8">
      <w:r>
        <w:t xml:space="preserve">Der VdK ist bestürzt darüber, dass in der Debatte über die geplanten Einsparungen Menschen mit Behinderung zunehmend als Belastung für die Gesellschaft und als Kostentreiber dargestellt werden. Gemeinsam mit weiteren Verbänden hat der VdK im Bündnis des Deutschen Behindertenrates (DBR) in einem Offenen Brief die geplante Reform bei der Eingliederungshilfe deutlich kritisiert. </w:t>
      </w:r>
    </w:p>
    <w:p w14:paraId="37B10369" w14:textId="77777777" w:rsidR="00C33BD6" w:rsidRDefault="000C11B8">
      <w:r>
        <w:t xml:space="preserve">Das Schreiben richtet sich an den Bundeskanzler, die Mitglieder der Bundesregierung, die Ministerpräsidentinnen und Ministerpräsidenten der Länder sowie Vertreterinnen und Vertreter der kommunalen Spitzenverbände. </w:t>
      </w:r>
    </w:p>
    <w:p w14:paraId="1CDCA87E" w14:textId="77777777" w:rsidR="00C33BD6" w:rsidRDefault="000C11B8">
      <w:r>
        <w:t>Kritisiert wird darin vor allem, dass die geplanten Änderungen den individuellen Rechtsanspruch auf bedarfsgerechte Unterstützung zugunsten pauschaler und gemeinschaftlich erbrachter Leistungen einschränken würden. Pauschale Geldleistungen könnten dazu führen, dass notwendige Hilfen nicht mehr ausreichend finanziert werden, insbesondere bei Menschen mit hohem oder komplexem Unterstützungsbedarf.</w:t>
      </w:r>
    </w:p>
    <w:p w14:paraId="583898FA" w14:textId="77777777" w:rsidR="00C33BD6" w:rsidRDefault="000C11B8">
      <w:pPr>
        <w:pStyle w:val="Zwischentitel"/>
      </w:pPr>
      <w:r>
        <w:t>Individuelle Hilfen</w:t>
      </w:r>
    </w:p>
    <w:p w14:paraId="0E51994C" w14:textId="77777777" w:rsidR="00C33BD6" w:rsidRDefault="000C11B8">
      <w:r>
        <w:t xml:space="preserve">Im Bildungsbereich besteht die Sorge, dass individuelle Assistenz in Kitas und Schulen durch Pooling ersetzt wird. Das bedeutet, dass eine Gruppe von Kindern oder Jugendlichen mit unterschiedlichen Behinderungen sich eine Unterstützungskraft teilen. Dadurch entsteht die Gefahr, dass Betroffene nicht mehr die notwendige Unterstützung erhalten oder zunehmend in Förderschulen gedrängt werden. Im Sinne der Selbstbestimmung muss das Ziel jedoch sein, individuelle Unterstützung zu erhalten, anstatt sie durch eine standardisierte Versorgung zu ersetzen. </w:t>
      </w:r>
    </w:p>
    <w:p w14:paraId="6B72B05B" w14:textId="77777777" w:rsidR="00C33BD6" w:rsidRDefault="000C11B8">
      <w:r>
        <w:lastRenderedPageBreak/>
        <w:t xml:space="preserve">Der Offene Brief warnt zudem vor einer Einschränkung des Wunsch- und Wahlrechts: Menschen mit Behinderung dürfen nicht gegen ihren Willen auf kostengünstigere Wohnformen verwiesen werden, wenn diese ihrem Bedarf und ihren Wünschen entgegenstehen. Das widerspräche den Bestimmungen der UN-Behindertenrechtskonvention. </w:t>
      </w:r>
    </w:p>
    <w:p w14:paraId="29E4724B" w14:textId="77777777" w:rsidR="00C33BD6" w:rsidRDefault="000C11B8">
      <w:r>
        <w:t xml:space="preserve">In dem Brief heißt es: Wer bei der Eingliederungshilfe kürzt, spart an Selbstbestimmung, Chancengleichheit und gesellschaftlicher Teilhabe. Das ist mit einer menschenrechtsbasierten Politik unvereinbar.  </w:t>
      </w:r>
      <w:r>
        <w:rPr>
          <w:b/>
        </w:rPr>
        <w:t>Jörg Ciszewski</w:t>
      </w:r>
    </w:p>
    <w:p w14:paraId="3C017BFE" w14:textId="77777777" w:rsidR="00C33BD6" w:rsidRDefault="000C11B8">
      <w:pPr>
        <w:pStyle w:val="berschrift1"/>
      </w:pPr>
      <w:bookmarkStart w:id="11" w:name="_Toc239062675"/>
      <w:r>
        <w:t>Hartnäckig ans Ziel gekommen</w:t>
      </w:r>
      <w:bookmarkEnd w:id="11"/>
    </w:p>
    <w:p w14:paraId="1FFE8376" w14:textId="77777777" w:rsidR="00C33BD6" w:rsidRDefault="000C11B8">
      <w:pPr>
        <w:pStyle w:val="Standard-Fett"/>
      </w:pPr>
      <w:r>
        <w:t>VdK Sachsen setzt Erwerbsminderung wegen Clusterkopfschmerzen durch</w:t>
      </w:r>
    </w:p>
    <w:p w14:paraId="02060496" w14:textId="77777777" w:rsidR="00C33BD6" w:rsidRDefault="000C11B8">
      <w:pPr>
        <w:pStyle w:val="Vorspann"/>
      </w:pPr>
      <w:r>
        <w:t>Jahrelang hat der VdK Sachsen dafür gekämpft, dass die Erwerbsminderung eines Mitglieds wegen Clusterkopfschmerzen und damit einhergehender Depressionen anerkannt wird. Dabei musste er sich erfolgreich gegen fragwürdige Gutachten zur Wehr setzen, die das Verfahren vor dem Sozialgericht unnötig verzögert haben.</w:t>
      </w:r>
    </w:p>
    <w:p w14:paraId="3BEAA33E" w14:textId="77777777" w:rsidR="00C33BD6" w:rsidRDefault="000C11B8">
      <w:r>
        <w:t>Christian Boden leidet unter extremen Kopfschmerzen. „Das fühlt sich an, als wenn jemand mit einem glühenden Messer von außen ins Auge sticht“, beschreibt er die Beschwerden. Seit 2011 ist er in Behandlung. Im Lauf der Jahre traten die Schmerzen häufiger auf und wurden stärker. Die Ärzte diagnostizierten Clusterkopfschmerzen, die ihn heute bis zu fünfmal in der Woche, an schlechten Tagen bis zu zehnmal  täglich und in der Nacht quälen. Die Attacken dauern bis zu  40 Minuten. Ihm fällt dann das Sprechen schwer, und seine Aufmerksamkeit ist stark eingeschränkt.</w:t>
      </w:r>
    </w:p>
    <w:p w14:paraId="33855692" w14:textId="77777777" w:rsidR="00C33BD6" w:rsidRDefault="000C11B8">
      <w:pPr>
        <w:pStyle w:val="Zwischentitel"/>
      </w:pPr>
      <w:r>
        <w:t>Traumberuf Testfahrer</w:t>
      </w:r>
    </w:p>
    <w:p w14:paraId="1D56EFBD" w14:textId="77777777" w:rsidR="00C33BD6" w:rsidRDefault="000C11B8">
      <w:r>
        <w:t xml:space="preserve">Im Februar 2020 stellte er daher bei der Deutschen Rentenversicherung (DRV) einen Antrag auf Erwerbsminderungsrente. Wegen der oft und plötzlich auftretenden Schmerzen konnte er seinen Traumberuf als Testfahrer für BMW nicht mehr ausüben. Doch die DRV lehnte den Antrag und den darauf folgenden Widerspruch ab. Der Versicherte könne weiter mindestens sechs Stunden pro Tag auf dem allgemeinen Arbeitsmarkt tätig sein, hieß es. </w:t>
      </w:r>
    </w:p>
    <w:p w14:paraId="2B37F131" w14:textId="77777777" w:rsidR="00C33BD6" w:rsidRDefault="000C11B8">
      <w:r>
        <w:t>Mit der Rechtsanwältin Kathleen Daute vom VdK Leipzig klagte Boden gegen die DRV. Das Sozialgericht beauftragte daraufhin ein nervenärztliches Sachverständigengutachten des Klägers. Das kam zu dem Schluss, dass bei ihm keine Erwerbsminderung vorliegt.</w:t>
      </w:r>
    </w:p>
    <w:p w14:paraId="1C2C9BE0" w14:textId="77777777" w:rsidR="00C33BD6" w:rsidRDefault="000C11B8">
      <w:r>
        <w:t xml:space="preserve">Daute und die behandelnden Ärzte konnten das nicht nachvollziehen. Sie reichten erneut medizinische Stellungnahmen ein, die eindeutig belegten, dass der Mann infolge der häufigen Schmerzen zudem eine depressive Erkrankung entwickelt hat und erwerbsgemindert ist. Sie veranlassten damit das Sozialgericht, ein neues Sachverständigengutachten einzuholen. </w:t>
      </w:r>
    </w:p>
    <w:p w14:paraId="7664A741" w14:textId="77777777" w:rsidR="00C33BD6" w:rsidRDefault="000C11B8">
      <w:r>
        <w:lastRenderedPageBreak/>
        <w:t xml:space="preserve">Das lag im Oktober 2023 vor – und war aus Sicht des Klägers verheerend. Denn es stellte den Kläger laut Daute „als Simulanten“ dar. Zusammen mit den Ärzten des Klägers belegte sie die mangelhafte Qualität und Objektivität der Gutachterin und stellte deren Voreingenommenheit heraus. Der Medizinerin fehle zudem die erforderliche Kenntnis zum Krankheitsbild Clusterkopfschmerzen. </w:t>
      </w:r>
    </w:p>
    <w:p w14:paraId="0E716260" w14:textId="77777777" w:rsidR="00C33BD6" w:rsidRDefault="000C11B8">
      <w:pPr>
        <w:pStyle w:val="Zwischentitel"/>
      </w:pPr>
      <w:r>
        <w:t>Volle EM-Rente</w:t>
      </w:r>
    </w:p>
    <w:p w14:paraId="2ED7B6CC" w14:textId="77777777" w:rsidR="00C33BD6" w:rsidRDefault="000C11B8">
      <w:r>
        <w:t xml:space="preserve">Schließlich bestellte das Gericht ein drittes Fachgutachten, das die ärztlichen Stellungnahmen berücksichtigte. Es kam zu dem Schluss, dass der Kläger täglich nur drei bis sechs Stunden arbeiten kann und teilweise erwerbsgemindert ist. Da keine Aussicht besteht, einen entsprechenden Arbeitsplatz zu finden, zahlt die DRV die volle Erwerbsminderungsrente rückwirkend ab 1. Januar 2023. </w:t>
      </w:r>
    </w:p>
    <w:p w14:paraId="248C733F" w14:textId="77777777" w:rsidR="00C33BD6" w:rsidRDefault="000C11B8">
      <w:r>
        <w:t xml:space="preserve">Die lange Verfahrenszeit habe viel Kraft gekostet, sagt die Ehefrau des Klägers, Simone Boden, rückblickend. Sie unterstützt ihren Mann tatkräftig. „Aufgeben war für uns auch dank der Unterstützung durch den VdK nie eine Option.“ Da die Bewilligung der Erwerbsminderungsrente nur bis Ende 2026 gilt, hat sie mit dem VdK einen Antrag auf Weitergewährung gestellt.  </w:t>
      </w:r>
      <w:r>
        <w:rPr>
          <w:b/>
        </w:rPr>
        <w:t>Jörg Ciszewski</w:t>
      </w:r>
    </w:p>
    <w:p w14:paraId="3B2E0823" w14:textId="77777777" w:rsidR="00C33BD6" w:rsidRDefault="000C11B8">
      <w:pPr>
        <w:pStyle w:val="berschrift1"/>
      </w:pPr>
      <w:bookmarkStart w:id="12" w:name="_Toc239062676"/>
      <w:r>
        <w:t>Erfolg für Mitglied mit fetalem Alkoholsyndrom</w:t>
      </w:r>
      <w:bookmarkEnd w:id="12"/>
    </w:p>
    <w:p w14:paraId="6FFAEECB" w14:textId="77777777" w:rsidR="00C33BD6" w:rsidRDefault="000C11B8">
      <w:pPr>
        <w:pStyle w:val="Standard-Fett"/>
      </w:pPr>
      <w:r>
        <w:t xml:space="preserve"> Diagnose FAS: VdK Nordrhein-Westfalen erstreitet stationäre Vorsorgemaßnahme in einem spezialisierten Kurzentrum </w:t>
      </w:r>
    </w:p>
    <w:p w14:paraId="08A7D7E9" w14:textId="77777777" w:rsidR="00C33BD6" w:rsidRDefault="000C11B8">
      <w:pPr>
        <w:pStyle w:val="Vorspann"/>
      </w:pPr>
      <w:r>
        <w:t>Der 46-jährige Tim Puffler hat lange gedacht, er wäre schuld, dass er sein Leben nicht in den Griff bekommt – bis bei ihm ein fetales Alkoholsyndrom (FAS) festgestellt wurde. Um den Umgang mit der Behinderung zu verbessern, hat der VdK Nordrhein-Westfalen vor dem Sozialgericht die Behandlung in einem Kurzentrum erstritten.</w:t>
      </w:r>
    </w:p>
    <w:p w14:paraId="2A12CA5B" w14:textId="77777777" w:rsidR="00C33BD6" w:rsidRDefault="000C11B8">
      <w:r>
        <w:t xml:space="preserve">Früher war Monika Reidegeld wegen des impulsiven Verhaltens ihres Adoptivsohns Tim oft verzweifelt. Nachdem bei ihm im Alter von 32 Jahren FAS festgestellt wurde, konnte sie sich viele der Probleme erklären. Heute leisten sie gemeinsam Aufklärungsarbeit über das FAS und werden zu Diskussionen eingeladen. </w:t>
      </w:r>
    </w:p>
    <w:p w14:paraId="2DE9CE31" w14:textId="77777777" w:rsidR="00C33BD6" w:rsidRDefault="000C11B8">
      <w:r>
        <w:t xml:space="preserve">Das FAS ist eine Behinderung, die durch Alkoholkonsum der Mutter während der Schwangerschaft verursacht wird. „Selbst das ominöse Gläschen kann lebenslange Hirnschäden verursachen“, sagt Reidegeld. Betroffene haben Probleme, strukturiert zu handeln. „Tim ist </w:t>
      </w:r>
      <w:r>
        <w:lastRenderedPageBreak/>
        <w:t>zudem vergesslich und oft unkonzentriert. Er ist schnell gereizt, wenn etwas Unvorhergesehenes passiert.“</w:t>
      </w:r>
    </w:p>
    <w:p w14:paraId="7D97EC10" w14:textId="77777777" w:rsidR="00C33BD6" w:rsidRDefault="000C11B8">
      <w:pPr>
        <w:pStyle w:val="Zwischentitel"/>
      </w:pPr>
      <w:r>
        <w:t>Früher Verdacht</w:t>
      </w:r>
    </w:p>
    <w:p w14:paraId="48481FD7" w14:textId="77777777" w:rsidR="00C33BD6" w:rsidRDefault="000C11B8">
      <w:r>
        <w:t>Reidegeld adoptierte den Jungen, als er ein Jahr war. Als Tim zwei Jahre alt war, äußerte ein Arzt in der Kinderklinik den Verdacht, dass er am FAS leidet und verordnete eine Frühförderung. „Ich habe allerdings nicht gewusst, wie ich mit diesem Verdacht weiter umgehen soll“, sagt die Mutter.</w:t>
      </w:r>
    </w:p>
    <w:p w14:paraId="11FA6907" w14:textId="77777777" w:rsidR="00C33BD6" w:rsidRDefault="000C11B8">
      <w:r>
        <w:t>Später hat Tim mit viel Unterstützung den Realschulabschluss geschafft. „Solange er zur Schule ging, lief alles einigermaßen normal“, erinnert sich die 74-Jährige. Doch dann brach die Tagesstruktur weg. Tim verbrachte viel Zeit zu Hause und geriet durch seine Beeinflussbarkeit unwissentlich in einen Autodiebstahl, ohne die Folgen zu überblicken. „Ich machte mir große Vorwürfe und dachte, ich hätte als Mutter versagt.“</w:t>
      </w:r>
    </w:p>
    <w:p w14:paraId="4E9BF6ED" w14:textId="77777777" w:rsidR="00C33BD6" w:rsidRDefault="000C11B8">
      <w:r>
        <w:t xml:space="preserve">Nachdem ihr Sohn straffällig geworden war, empfahl eine Ärztin des Gesundheitsamts eine Untersuchung, um dem früheren Verdacht von FAS nachzugehen. Die Diagnose, die ein spezialisierter Facharzt an der Berliner Charité stellte, war dann eindeutig. </w:t>
      </w:r>
    </w:p>
    <w:p w14:paraId="505CC394" w14:textId="77777777" w:rsidR="00C33BD6" w:rsidRDefault="000C11B8">
      <w:r>
        <w:t>Tim sollte einen besseren Umgang mit seiner Behinderung erlernen. Deshalb beantragte Reidegeld die Übernahme der Kosten für eine stationäre dreiwöchige Vorsorgemaßnahme. Als anerkannte Fachklinik, die auf Menschen mit FAS ausgerichtet ist, schlug sie das Soziale Genesungswerk Pelzerhaken an der Ostsee vor. Doch die Krankenkasse lehnte den Antrag ab und wies auch den Widerspruch zurück. Sie riet stattdessen zu einer Ernährungsberatung in Wohnortnähe, Reha-Training und dem Erlernen von Entspannungstechniken. Reidegeld kontaktierte den VdK, da Tim wegen seiner Behinderung nicht in der Lage ist, ambulante Maßnahmen durchzuhalten.</w:t>
      </w:r>
    </w:p>
    <w:p w14:paraId="11C7EAAC" w14:textId="77777777" w:rsidR="00C33BD6" w:rsidRDefault="000C11B8">
      <w:pPr>
        <w:pStyle w:val="Zwischentitel"/>
      </w:pPr>
      <w:r>
        <w:t>Neues Gutachten</w:t>
      </w:r>
    </w:p>
    <w:p w14:paraId="3D827D29" w14:textId="77777777" w:rsidR="00C33BD6" w:rsidRDefault="000C11B8">
      <w:r>
        <w:t xml:space="preserve">VdK-Juristin Elahe Jafari-Neshat stellte daraufhin beim Sozialgericht Gelsenkirchen Antrag auf Kostenübernahme für den Aufenthalt. Es komme nur die Behandlung in einer spezialisierten Einrichtung infrage. Die vorgeschlagenen Maßnahmen seien bereits ausgeschöpft, so Jafari-Neshat. Sie regte bei Gericht die Einholung von Befunden und ein neues medizinisches Gutachten an. </w:t>
      </w:r>
    </w:p>
    <w:p w14:paraId="52085BF8" w14:textId="77777777" w:rsidR="00C33BD6" w:rsidRDefault="000C11B8">
      <w:r>
        <w:t>Der Medizinische Dienst kam daraufhin zu dem Ergebnis, dass eine stationäre Vorsorge zur Vermeidung zunehmender Pflegebedürftigkeit und zum Erhalt der Selbstständigkeit notwendig ist.</w:t>
      </w:r>
    </w:p>
    <w:p w14:paraId="25BD1D46" w14:textId="77777777" w:rsidR="00C33BD6" w:rsidRDefault="000C11B8">
      <w:r>
        <w:t xml:space="preserve">Schließlich lenkte die Krankenkasse ein und stimmte der Kostenübernahme für die dreiwöchige Vorsorge in der gewünschten Einrichtung zu. Mutter und Sohn fiel ein Stein vom Herzen. „Wir sind Frau Jafari-Neshat vom VdK für die kompetente und vertrauensvolle Betreuung sehr dankbar“, sagt Monika Reidegeld.  </w:t>
      </w:r>
      <w:r>
        <w:rPr>
          <w:b/>
        </w:rPr>
        <w:t>Jörg Ciszewski</w:t>
      </w:r>
    </w:p>
    <w:p w14:paraId="6318DAA6" w14:textId="77777777" w:rsidR="00C33BD6" w:rsidRDefault="000C11B8">
      <w:pPr>
        <w:pStyle w:val="berschrift1"/>
      </w:pPr>
      <w:bookmarkStart w:id="13" w:name="_Toc239062677"/>
      <w:r>
        <w:lastRenderedPageBreak/>
        <w:t>VdK rät: Bei Bedarf jetzt einen Pflegeantrag stellen</w:t>
      </w:r>
      <w:bookmarkEnd w:id="13"/>
    </w:p>
    <w:p w14:paraId="4B88F270" w14:textId="77777777" w:rsidR="00C33BD6" w:rsidRDefault="000C11B8">
      <w:pPr>
        <w:pStyle w:val="Standard-Fett"/>
      </w:pPr>
      <w:r>
        <w:t>Der Zugang zu den Pflegegraden könnte ab 2027 erschwert werden – Wer bereits Unterstützung benötigt, sollte handeln</w:t>
      </w:r>
    </w:p>
    <w:p w14:paraId="5FC98E40" w14:textId="77777777" w:rsidR="00C33BD6" w:rsidRDefault="000C11B8">
      <w:pPr>
        <w:pStyle w:val="Vorspann"/>
      </w:pPr>
      <w:r>
        <w:t>Die geplante Pflegereform könnte für Menschen mit Unterstützungsbedarf die Voraussetzungen erschweren, einen Pflegegrad zu erhalten. Daher empfiehlt der Sozialverband VdK Betroffenen, die schon länger über einen Erstantrag nachdenken, ihn dringend vor dem 31. Dezember 2026 zu stellen.</w:t>
      </w:r>
    </w:p>
    <w:p w14:paraId="526305BD" w14:textId="77777777" w:rsidR="00C33BD6" w:rsidRDefault="000C11B8">
      <w:r>
        <w:t xml:space="preserve">Die Reform mit dem Namen „Pflegeneuordnungsgesetz“ ist noch nicht verabschiedet. Der Gesetzgebungsprozess soll aber noch in diesem Jahr abgeschlossen werden, sodass die Änderungen ab 2027 gelten können. Der bisherige Gesetzentwurf sieht erhebliche Leistungseinschnitte in der pflegerischen Versorgung vor. Zudem sollen sich die Voraussetzungen für die Pflegegrade 1 bis 3 verschärfen. </w:t>
      </w:r>
    </w:p>
    <w:p w14:paraId="3BE0115B" w14:textId="77777777" w:rsidR="00C33BD6" w:rsidRDefault="000C11B8">
      <w:r>
        <w:t xml:space="preserve">Der VdK kritisiert diese Pläne. Denn viele Pflegebedürftige, die heute die Voraussetzungen erfüllen, würden nach der Reform keinen oder einen niedrigeren Pflegegrad erhalten. Berechnungen des IGES-Instituts zeigen: Wären die nun geplanten strengeren Voraussetzungen schon 2024 in Kraft gewesen, hätten rund 123 000 Menschen keinen Pflegegrad 1 bekommen und 155 000 Menschen wären in einen niedrigeren Pflegegrad eingestuft worden. </w:t>
      </w:r>
    </w:p>
    <w:p w14:paraId="1E06A6E7" w14:textId="77777777" w:rsidR="00C33BD6" w:rsidRDefault="000C11B8">
      <w:r>
        <w:t xml:space="preserve">Der VdK rät daher dringend dazu, noch vor Inkrafttreten der Reform einen Erstantrag zu stellen, um nach den aktuell geltenden Maßstäben begutachtet zu werden. </w:t>
      </w:r>
    </w:p>
    <w:p w14:paraId="003DB367" w14:textId="77777777" w:rsidR="00C33BD6" w:rsidRDefault="000C11B8">
      <w:r>
        <w:t xml:space="preserve">VdK-Präsidentin Verena Bentele weiß, dass viele Menschen damit zögern, einen Pflegegrad zu beantragen. „Sie schaffen es noch, ihren Alltag unter großen Anstrengungen für sich und ihre Angehörigen zu arrangieren. Dabei ist ein Pflegegrad kein Makel, sondern eine wichtige Voraussetzung, weiter in den eigenen vier Wänden leben zu können.“ </w:t>
      </w:r>
    </w:p>
    <w:p w14:paraId="5A1834D5" w14:textId="77777777" w:rsidR="00C33BD6" w:rsidRDefault="000C11B8">
      <w:r>
        <w:t xml:space="preserve">Ihnen macht sie Mut, jetzt zu handeln, denn wer noch in diesem Jahr einen Pflegegrad bekommt, behält ihn nach aktuellem Stand auch, wenn die Zugangsregeln verschärft werden. „Wenn Sie also schon länger über einen Erstantrag nachdenken, empfiehlt der VdK, ihn bis zum 31. Dezember 2026 zu stellen“, sagt Bentele. </w:t>
      </w:r>
    </w:p>
    <w:p w14:paraId="6DAFB4FB" w14:textId="77777777" w:rsidR="00C33BD6" w:rsidRDefault="000C11B8">
      <w:r>
        <w:t>Ein Antrag auf Höherstufung eines bereits vorhandenen Pflegegrads sollte wiederum wohlüberlegt sein, weil es dann auch zu Rückstufungen des Pflegegrads kommen kann. Außerdem gelten hier andere Fristen.</w:t>
      </w:r>
    </w:p>
    <w:p w14:paraId="08BEF51A" w14:textId="77777777" w:rsidR="00C33BD6" w:rsidRDefault="000C11B8">
      <w:r>
        <w:t>Wer nach einem Erstantrag einen Pflegegrad erhalten hat, kann Unterstützungsangebote nutzen. Sie helfen dabei, die Selbstständigkeit möglichst lange zu erhalten und einen höheren Pflegebedarf zu vermeiden oder hinauszuzögern.</w:t>
      </w:r>
    </w:p>
    <w:p w14:paraId="20CD99EC" w14:textId="77777777" w:rsidR="00C33BD6" w:rsidRDefault="000C11B8">
      <w:r>
        <w:lastRenderedPageBreak/>
        <w:t>Wichtig ist in diesem Zusammenhang: Während der noch in diesem Jahr festgestellte Pflegegrad voraussichtlich auch nach der Reform Bestandsschutz genießt, können sich Art und Umfang der Leistungen in den Pflegegraden im Zuge der Reform noch verändern.</w:t>
      </w:r>
    </w:p>
    <w:p w14:paraId="0A96C469" w14:textId="77777777" w:rsidR="00C33BD6" w:rsidRDefault="000C11B8">
      <w:r>
        <w:t>Die für die Bearbeitung des Antrags zuständige Pflegekasse ist über die Krankenversicherung erreichbar. Für die Antragstellung genügt ein Anruf oder ein formloses Schreiben. Der VdK empfiehlt den schriftlichen Antrag, weil er sich im Zweifelsfall leichter nachweisen lässt. Beispielhafte Formulierungen für einen Antrag und weiterführende Informationen zum Pflegeantrag gibt es auf der Webseite des VdK (siehe unten).</w:t>
      </w:r>
    </w:p>
    <w:p w14:paraId="54F9A32B" w14:textId="77777777" w:rsidR="00C33BD6" w:rsidRDefault="000C11B8">
      <w:pPr>
        <w:pStyle w:val="Zwischentitel"/>
      </w:pPr>
      <w:r>
        <w:t>Ergebnis nach 25 Tagen</w:t>
      </w:r>
    </w:p>
    <w:p w14:paraId="07F59D37" w14:textId="77777777" w:rsidR="00C33BD6" w:rsidRDefault="000C11B8">
      <w:r>
        <w:t xml:space="preserve">Spätestens 25 Arbeitstage nach dem Eingang des Antrags muss die Pflegekasse ihre Entscheidung über den Pflegegrad schriftlich mitteilen. Bis zum Jahresende rechnen die Pflegekassen mit einem erhöhten Antragsaufkommen. </w:t>
      </w:r>
    </w:p>
    <w:p w14:paraId="749CEC5E" w14:textId="77777777" w:rsidR="00C33BD6" w:rsidRDefault="000C11B8">
      <w:r>
        <w:t xml:space="preserve">Grundlage für die Entscheidung über den Pflegeantrag ist das Gutachten des Medizinischen Dienstes (MD). Die Begutachtung wird innerhalb der Frist in der Regel bei den Versicherten zu Hause durchgeführt. Auf das Gespräch sollten sich die Antragstellenden gut vorbereiten. Dabei kann der VdK-Pflegeratgeber „Ab wann ist man pflegebedürftig?“ helfen. Darin ist erklärt, nach welchen Kriterien der MD begutachtet und die Einstufung in einen Pflegegrad vornimmt. Der Ratgeber sowie die Broschüre „Pflege zu Hause“ können auf der Webseite des VdK Deutschland kostenfrei heruntergeladen werden. </w:t>
      </w:r>
    </w:p>
    <w:p w14:paraId="4324C47D" w14:textId="77777777" w:rsidR="00C33BD6" w:rsidRDefault="000C11B8">
      <w:r>
        <w:rPr>
          <w:b/>
        </w:rPr>
        <w:t>Jörg Ciszewski</w:t>
      </w:r>
    </w:p>
    <w:p w14:paraId="7492D070" w14:textId="6DDFA442" w:rsidR="00C33BD6" w:rsidRDefault="00E74904">
      <w:hyperlink r:id="rId11">
        <w:r w:rsidR="000C11B8">
          <w:rPr>
            <w:color w:val="0015B7"/>
          </w:rPr>
          <w:t>www.vdk.de/pflegeratgeber</w:t>
        </w:r>
      </w:hyperlink>
    </w:p>
    <w:p w14:paraId="3F536182" w14:textId="61F42154" w:rsidR="00C33BD6" w:rsidRDefault="00E74904">
      <w:hyperlink r:id="rId12" w:history="1">
        <w:r w:rsidRPr="003701C3">
          <w:rPr>
            <w:rStyle w:val="Hyperlink"/>
          </w:rPr>
          <w:t>www.vdk.de/pflegeantrag</w:t>
        </w:r>
      </w:hyperlink>
    </w:p>
    <w:p w14:paraId="7CD085C6" w14:textId="77777777" w:rsidR="00C33BD6" w:rsidRDefault="000C11B8">
      <w:pPr>
        <w:pStyle w:val="berschrift1"/>
      </w:pPr>
      <w:bookmarkStart w:id="14" w:name="_Toc239062678"/>
      <w:r>
        <w:t>Was sich für die Krankenversicherten ändert</w:t>
      </w:r>
      <w:bookmarkEnd w:id="14"/>
    </w:p>
    <w:p w14:paraId="66A8FD0E" w14:textId="77777777" w:rsidR="00C33BD6" w:rsidRDefault="000C11B8">
      <w:pPr>
        <w:pStyle w:val="Standard-Fett"/>
      </w:pPr>
      <w:r>
        <w:t xml:space="preserve">Maßnahmenpaket sieht Neuregelungen bei Familienversicherung, Medikamentenzuzahlung und Zahnersatz vor </w:t>
      </w:r>
    </w:p>
    <w:p w14:paraId="7C00F34D" w14:textId="77777777" w:rsidR="00C33BD6" w:rsidRDefault="000C11B8">
      <w:pPr>
        <w:pStyle w:val="Vorspann"/>
      </w:pPr>
      <w:r>
        <w:t>Die Bundesregierung hat ein Gesetzespaket verabschiedet, um die Beiträge zur gesetzlichen Krankenversicherung (GKV) zu stabilisieren. Für Versicherte bedeutet die Gesundheitsreform, dass sie sich auf größere Veränderungen einstellen müssen. Die wichtigsten Neuerungen im Überblick:</w:t>
      </w:r>
    </w:p>
    <w:p w14:paraId="4B82BC6B" w14:textId="77777777" w:rsidR="00C33BD6" w:rsidRDefault="000C11B8">
      <w:r>
        <w:lastRenderedPageBreak/>
        <w:t xml:space="preserve">Ab 1. Januar 2027 sollen Versicherte </w:t>
      </w:r>
      <w:r>
        <w:rPr>
          <w:b/>
        </w:rPr>
        <w:t>bei Medikamenten, Hilfsmitteln und Behandlungen</w:t>
      </w:r>
      <w:r>
        <w:t xml:space="preserve"> tiefer in die Tasche greifen. Die Zuzahlungen sollen um 50 Prozent steigen. Das betrifft neben verschreibungspflichtigen Arzneimitteln auch Krankenhausaufenthalte, Heil- und Hilfsmittel sowie Fahrtkosten, Vorsorge- und Reha-Maßnahmen. Die Mindestzuzahlung für Medikamente steigt somit von 5 auf 7,50 Euro, die Höchstzuzahlung von 10 auf 15 Euro. </w:t>
      </w:r>
    </w:p>
    <w:p w14:paraId="718340FD" w14:textId="77777777" w:rsidR="00C33BD6" w:rsidRDefault="000C11B8">
      <w:pPr>
        <w:pStyle w:val="Zwischentitel"/>
      </w:pPr>
      <w:r>
        <w:t>Wirksamkeit fraglich</w:t>
      </w:r>
    </w:p>
    <w:p w14:paraId="53612E3C" w14:textId="77777777" w:rsidR="00C33BD6" w:rsidRDefault="000C11B8">
      <w:r>
        <w:rPr>
          <w:b/>
        </w:rPr>
        <w:t>Homöopathische und anthroposophische Behandlungen</w:t>
      </w:r>
      <w:r>
        <w:t xml:space="preserve"> werden ab 2027 nicht mehr von den gesetzlichen Krankenkassen bezahlt. Wer solche Angebote weiter nutzen möchte, muss die Kosten dafür künftig selbst übernehmen. Die Bundesregierung begründet diese Entscheidung damit, dass für die Leistungen kein ausreichender wissenschaftlicher Wirksamkeitsnachweis erbracht werden kann. Zudem zahlen die Krankenkassen ab 1. Januar 2027 </w:t>
      </w:r>
      <w:r>
        <w:rPr>
          <w:b/>
        </w:rPr>
        <w:t>niedrigere Festzuschüsse für Zahnersatz</w:t>
      </w:r>
      <w:r>
        <w:t>. Sie werden auf das Niveau von 2020 gesenkt und um 10 Prozentpunkte auf 50 Prozent verringert. Für Versicherte steigen dadurch die Eigenanteile. Je nach Behandlung können mehrere Hundert Euro zusätzliche Kosten entstehen. Es soll weiter Härtefallregeln für Menschen mit geringen Einkommen geben.</w:t>
      </w:r>
    </w:p>
    <w:p w14:paraId="5237853E" w14:textId="77777777" w:rsidR="00C33BD6" w:rsidRDefault="000C11B8">
      <w:r>
        <w:t xml:space="preserve">Ab 2027 gilt eine </w:t>
      </w:r>
      <w:r>
        <w:rPr>
          <w:b/>
        </w:rPr>
        <w:t>Steuer auf zuckerhaltige Getränke</w:t>
      </w:r>
      <w:r>
        <w:t xml:space="preserve">. Ziel ist es, den Zuckerkonsum zu senken und so Krankheiten wie Diabetes oder starkem Übergewicht vorzubeugen. </w:t>
      </w:r>
    </w:p>
    <w:p w14:paraId="36FF865F" w14:textId="77777777" w:rsidR="00C33BD6" w:rsidRDefault="000C11B8">
      <w:r>
        <w:t xml:space="preserve">Die </w:t>
      </w:r>
      <w:r>
        <w:rPr>
          <w:b/>
        </w:rPr>
        <w:t>Familienversicherung</w:t>
      </w:r>
      <w:r>
        <w:t xml:space="preserve"> wird teilweise beitragspflichtig. Bisher konnten viele Ehe- und Lebenspartnerinnen und -partner ohne eigenes oder mit nur geringem Einkommen kostenlos über die gesetzliche Krankenversicherung des berufstätigen Partners mitversichert werden. Ab 1. Januar 2028 fällt diese kostenlose Mitversicherung weg. Stattdessen wird ein zusätzlicher Krankenversicherungsbeitrag in Höhe von 2,5 Prozent des beitragspflichtigen Einkommens des versicherten Partners fällig. Für Rentnerinnen und Rentner sowie Menschen mit Versorgungsbezügen gilt diese Regelung ab 1. Juli 2028. </w:t>
      </w:r>
    </w:p>
    <w:p w14:paraId="03D2C51B" w14:textId="77777777" w:rsidR="00C33BD6" w:rsidRDefault="000C11B8">
      <w:r>
        <w:t xml:space="preserve">Es gelten allerdings Ausnahmen </w:t>
      </w:r>
      <w:r>
        <w:rPr>
          <w:b/>
        </w:rPr>
        <w:t>,</w:t>
      </w:r>
      <w:r>
        <w:t xml:space="preserve"> für die weiterhin eine beitragsfreie Mitversicherung bestehen bleibt. Dazu zählen unter anderem Kinder, Ehe- oder Lebenspartner, die Kinder unter zwölf Jahren betreuen, Kinder mit Behinderung, die nicht alleine wohnen können, Ehe- oder Lebenspartner mit voller Erwerbsminderung oder mit mindestens Pflegegrad 3, Ehe- oder Lebenspartner, die die Regelaltersgrenze erreicht haben sowie nicht erwerbsfähige Menschen, die Grundsicherung beziehen.</w:t>
      </w:r>
    </w:p>
    <w:p w14:paraId="47E04113" w14:textId="77777777" w:rsidR="00C33BD6" w:rsidRDefault="000C11B8">
      <w:r>
        <w:t xml:space="preserve">Neu ist auch die Möglichkeit einer </w:t>
      </w:r>
      <w:r>
        <w:rPr>
          <w:b/>
        </w:rPr>
        <w:t>Teilkrankschreibung</w:t>
      </w:r>
      <w:r>
        <w:t>. Beschäftigte können bei Erkrankungen, die länger als vier Wochen andauern, teilweise krankgeschrieben werden („Teil-AU“). Die Regelung soll ab dem 1. Januar 2028 in Kraft treten. Die Teilkrankschreibung soll es in drei Stufen geben: Ärztinnen und Ärzte können eine Teilarbeitsunfähigkeit von 25 Prozent, 50 Prozent oder 75 Prozent der Arbeitszeit feststellen. Dabei sollen den Beschäftigten anteilig Gehalt und Krankengeld gezahlt werden. Arbeitgeber können die Teilkrankschreibung ablehnen. Dann gelten eine vollständige Arbeitsunfähigkeit und die Regelungen zur Entgeltfortzahlung und zum vollen Krankengeld nach sechs Wochen Arbeitsunfähigkeit.</w:t>
      </w:r>
    </w:p>
    <w:p w14:paraId="012D4C73" w14:textId="77777777" w:rsidR="00C33BD6" w:rsidRDefault="000C11B8">
      <w:pPr>
        <w:pStyle w:val="Zwischentitel"/>
      </w:pPr>
      <w:r>
        <w:t>Nur bei erhöhtem Risiko</w:t>
      </w:r>
    </w:p>
    <w:p w14:paraId="41DA8363" w14:textId="77777777" w:rsidR="00C33BD6" w:rsidRDefault="000C11B8">
      <w:r>
        <w:t xml:space="preserve">Das </w:t>
      </w:r>
      <w:r>
        <w:rPr>
          <w:b/>
        </w:rPr>
        <w:t>Hautkrebs-Screening</w:t>
      </w:r>
      <w:r>
        <w:t xml:space="preserve"> für gesetzlich Versicherte soll künftig nicht mehr ohne Weiteres allen angeboten werden. Stattdessen soll die Untersuchung stärker davon abhängen, ob ein erhöhtes persönliches Risiko besteht. Der Gemeinsame Bundesausschuss  muss die neuen Regeln bis </w:t>
      </w:r>
      <w:r>
        <w:lastRenderedPageBreak/>
        <w:t>Ende 2027 festlegen. Bis dahin bleibt das bisherige Angebot bestehen. Untersuchungen wegen eines konkreten Verdachts oder eines erhöhten Risikos werden auch künftig von der Krankenkasse übernommen.</w:t>
      </w:r>
    </w:p>
    <w:p w14:paraId="76EF3BDD" w14:textId="77777777" w:rsidR="00C33BD6" w:rsidRDefault="000C11B8">
      <w:r>
        <w:t>Zudem gibt es Neuregelungen für die Behandlung mit medizinischem Cannabis. Hier soll zunächst ein sechsmonatiger Behandlungsversuch mit einem zugelassenen Cannabis-​Fertigarzneimittel erfolgen. Andere Cannabis-Produkte können erst danach unter bestimmten Voraussetzungen zulasten der Kasse verordnet werden. Cannabisblüten sind nicht mehr erstattungsfähig.</w:t>
      </w:r>
    </w:p>
    <w:p w14:paraId="52D87CDA" w14:textId="77777777" w:rsidR="00C33BD6" w:rsidRDefault="000C11B8">
      <w:r>
        <w:rPr>
          <w:b/>
        </w:rPr>
        <w:t>Christina Liebeck/cis</w:t>
      </w:r>
    </w:p>
    <w:p w14:paraId="563AA2DE" w14:textId="77777777" w:rsidR="00C33BD6" w:rsidRDefault="000C11B8">
      <w:r>
        <w:rPr>
          <w:i/>
        </w:rPr>
        <w:t>Weiterführende Informationen zu den Neuregelungen finden Sie  auf der Webseite des Sozialverbands VdK:</w:t>
      </w:r>
    </w:p>
    <w:p w14:paraId="2286F92A" w14:textId="7CC93132" w:rsidR="00C33BD6" w:rsidRDefault="00E74904">
      <w:hyperlink r:id="rId13" w:history="1">
        <w:r w:rsidRPr="003701C3">
          <w:rPr>
            <w:rStyle w:val="Hyperlink"/>
          </w:rPr>
          <w:t>www.vdk.de/gkv-spargesetz</w:t>
        </w:r>
      </w:hyperlink>
    </w:p>
    <w:p w14:paraId="2F1183EB" w14:textId="77777777" w:rsidR="00C33BD6" w:rsidRDefault="000C11B8">
      <w:pPr>
        <w:pStyle w:val="berschrift1"/>
      </w:pPr>
      <w:bookmarkStart w:id="15" w:name="_Toc239062679"/>
      <w:r>
        <w:t>Vorzeitig in den Ruhestand</w:t>
      </w:r>
      <w:bookmarkEnd w:id="15"/>
    </w:p>
    <w:p w14:paraId="4DFEA909" w14:textId="77777777" w:rsidR="00C33BD6" w:rsidRDefault="000C11B8">
      <w:pPr>
        <w:pStyle w:val="Standard-Fett"/>
      </w:pPr>
      <w:r>
        <w:t>Gesundheit entscheidet über den Wunsch nach früherem Renteneintritt</w:t>
      </w:r>
    </w:p>
    <w:p w14:paraId="3DA78FDE" w14:textId="77777777" w:rsidR="00C33BD6" w:rsidRDefault="000C11B8">
      <w:pPr>
        <w:pStyle w:val="Vorspann"/>
      </w:pPr>
      <w:r>
        <w:t>52 Prozent der Beschäftigten ab 50 Jahren möchten vorzeitig in Rente gehen. Schätzen sie ihre Gesundheit als schlecht ein, steigt der Anteil auf 60 Prozent. Das ist das Ergebnis einer Befragung von rund 7000 Beschäftigten für den DAK-Gesundheitsreport 2026.</w:t>
      </w:r>
    </w:p>
    <w:p w14:paraId="60470A11" w14:textId="77777777" w:rsidR="00C33BD6" w:rsidRDefault="000C11B8">
      <w:r>
        <w:t xml:space="preserve">Insgesamt tragen sich 44 Prozent der Beschäftigten mit dem Gedanken an einen früheren Renteneintritt, so die Analyse des Meinungsforschungsinstituts IGES im Auftrag der Krankenkasse DAK. 35 Prozent der Befragten wollen bis zum regulären Renteneintrittsalter arbeiten, neun Prozent sogar darüber hinaus. </w:t>
      </w:r>
    </w:p>
    <w:p w14:paraId="205A26E3" w14:textId="77777777" w:rsidR="00C33BD6" w:rsidRDefault="000C11B8">
      <w:r>
        <w:t>Für den Report untersuchte das IGES auch den Krankenstand aller in der DAK versicherten Beschäftigten. Die Älteren sind zwar seltener krankgeschrieben, fallen im Durchschnitt aber länger aus. Bei den 66-Jährigen liegt der Krankenstand mit elf Prozent deutlich über dem der 50-Jährigen mit 5,8 Prozent. Das bedeutet: An jedem Tag sind durchschnittlich elf von 100 Beschäftigten im Alter von 66 Jahren arbeitsunfähig.</w:t>
      </w:r>
    </w:p>
    <w:p w14:paraId="3D929DD8" w14:textId="77777777" w:rsidR="00C33BD6" w:rsidRDefault="000C11B8">
      <w:r>
        <w:t>Der Wunsch jedes zweiten älteren Beschäftigten, früher in Rente zu gehen, sowie die steigenden Fehlzeiten verdeutlichen den großen Handlungsdruck, so DAK-Vorstand Andreas Storm. Um diese Beschäftigten nicht zu verlieren, müssten die Unternehmen ihre Gesundheitsangebote verstärken.</w:t>
      </w:r>
    </w:p>
    <w:p w14:paraId="3CBE36F8" w14:textId="77777777" w:rsidR="00C33BD6" w:rsidRDefault="000C11B8">
      <w:r>
        <w:t xml:space="preserve">Nach Ansicht des Sozialverbands VdK sind viele Betriebe auf ihre älteren Arbeitnehmerinnen und Arbeitnehmer nicht angemessen eingestellt. Oft mangelt es an altersgerechten </w:t>
      </w:r>
      <w:r>
        <w:lastRenderedPageBreak/>
        <w:t xml:space="preserve">Arbeitsplätzen, betrieblicher Weiterbildung oder gesundheitlichen Präventionsprogrammen. Dabei hat Deutschland die älteste Erwerbsbevölkerung in der Europäischen Union. Fast ein Viertel aller Beschäftigten ist nach Angaben des Statistischen Bundesamts zwischen 55 und 64 Jahre alt. </w:t>
      </w:r>
    </w:p>
    <w:p w14:paraId="684F9737" w14:textId="77777777" w:rsidR="00C33BD6" w:rsidRDefault="000C11B8">
      <w:pPr>
        <w:pStyle w:val="Zwischentitel"/>
      </w:pPr>
      <w:r>
        <w:t>Gute Reha-Angebote</w:t>
      </w:r>
    </w:p>
    <w:p w14:paraId="506911FD" w14:textId="77777777" w:rsidR="00C33BD6" w:rsidRDefault="000C11B8">
      <w:r>
        <w:t>„Es braucht ein leicht zugängliches und übersichtliches Reha-System. Viele Menschen kennen die Angebote der medizinischen und beruflichen Rehabilitation nicht. Hier besteht großer Nachholbedarf“, sagt VdK-Präsidentin Verena Bentele. Gute Reha-Angebote können dazu beitragen, Gesundheit und Erwerbsfähigkeit länger zu erhalten. „Sie sind eine wichtige Voraussetzung dafür, dass Menschen überhaupt bis zur Regelaltersgrenze durchhalten“, so Bentele.</w:t>
      </w:r>
    </w:p>
    <w:p w14:paraId="69E3FE29" w14:textId="77777777" w:rsidR="00C33BD6" w:rsidRDefault="000C11B8">
      <w:r>
        <w:t xml:space="preserve">Für 40 Prozent der über 50-jährigen Beschäftigten ist laut Gesundheitsreport die Anerkennung ihrer Arbeitsleistung durch den Arbeitgeber die wichtigste Voraussetzung, um möglichst lange gesund, motiviert und leistungsfähig zu arbeiten. Zudem sind ihnen eine höhere Bezahlung, die Wertschätzung von Erfahrungswissen sowie bedarfsgerechte Arbeitszeiten wichtig. </w:t>
      </w:r>
      <w:r>
        <w:rPr>
          <w:b/>
        </w:rPr>
        <w:t>Kristin Enge</w:t>
      </w:r>
    </w:p>
    <w:p w14:paraId="6A9A5045" w14:textId="77777777" w:rsidR="00C33BD6" w:rsidRDefault="000C11B8">
      <w:pPr>
        <w:pStyle w:val="berschrift1"/>
      </w:pPr>
      <w:bookmarkStart w:id="16" w:name="_Toc239062680"/>
      <w:r>
        <w:t>Mehr Gesundheitsleistungen vor Ort</w:t>
      </w:r>
      <w:bookmarkEnd w:id="16"/>
    </w:p>
    <w:p w14:paraId="3D065E0E" w14:textId="77777777" w:rsidR="00C33BD6" w:rsidRDefault="000C11B8">
      <w:pPr>
        <w:pStyle w:val="Standard-Fett"/>
      </w:pPr>
      <w:r>
        <w:t>Mit zusätzlichen Angeboten und einer besseren Finanzierung sollen Apotheken die wohnortnahe Versorgung langfristig sichern</w:t>
      </w:r>
    </w:p>
    <w:p w14:paraId="385303A5" w14:textId="77777777" w:rsidR="00C33BD6" w:rsidRDefault="000C11B8">
      <w:pPr>
        <w:pStyle w:val="Vorspann"/>
      </w:pPr>
      <w:r>
        <w:t>Mit dem Gesetz zur Weiterentwicklung der Apothekenversorgung (ApoVWG) soll die wohnortnahe Versorgung mit Arzneimitteln – vor allem im ländlichen Raum –sichergestellt werden. Was die Apothekenreform für die Menschen bedeutet, erklärt Gesundheitsexpertin Julie Rothe vom Sozialverband VdK.</w:t>
      </w:r>
    </w:p>
    <w:p w14:paraId="63BFB27F" w14:textId="77777777" w:rsidR="00C33BD6" w:rsidRDefault="000C11B8">
      <w:r>
        <w:t>Die Apotheken in Deutschland stehen unter Druck: Seit Jahren geht ihre Zahl zurück. Vielerorts mangelt es an Fachkräften, und die Kosten für Personal, Bürokratie, Mieten und Energie steigen. Gleichzeitig werden die Menschen immer älter, sodass der Bedarf an Medikamenten sowie persönlicher Beratung weiter zunimmt.</w:t>
      </w:r>
    </w:p>
    <w:p w14:paraId="4C2F9F02" w14:textId="77777777" w:rsidR="00C33BD6" w:rsidRDefault="000C11B8">
      <w:r>
        <w:t>Mit dem ApoVWG will die Bundesregierung hier gegensteuern. Die ersten Neuerungen gelten seit Juli. Sie sollen vor allem älteren Menschen, chronisch Kranken und Menschen mit Behinderung den Zugang zu Medikamenten und Gesundheitsleistungen erleichtern. „Für den VdK ist entscheidend, dass die Patientinnen und Patienten gut versorgt werden“, sagt Rothe.</w:t>
      </w:r>
    </w:p>
    <w:p w14:paraId="59F3E6A4" w14:textId="77777777" w:rsidR="00C33BD6" w:rsidRDefault="000C11B8">
      <w:pPr>
        <w:pStyle w:val="Zwischentitel"/>
      </w:pPr>
      <w:r>
        <w:t>Angebot ausgeweitet</w:t>
      </w:r>
    </w:p>
    <w:p w14:paraId="7CE41663" w14:textId="77777777" w:rsidR="00C33BD6" w:rsidRDefault="000C11B8">
      <w:r>
        <w:lastRenderedPageBreak/>
        <w:t>Die Apotheken dürfen nun Blut abnehmen und Schnelltests anbieten, etwa auf Bindehautentzündung, Atemwegserkrankungen und Magen-Darm-Infektionen. Neben Grippeschutz- und Corona-Impfungen sind weitere Schutzimpfungen mit sogenannten Totimpfstoffen möglich, zum Beispiel gegen Tetanus und FSME. Zu den pharmazeutischen Dienstleitungen kommen mit Blutzucker- und Cholesterinmessungen zwei neue Angebote hinzu.</w:t>
      </w:r>
    </w:p>
    <w:p w14:paraId="553BDAFC" w14:textId="77777777" w:rsidR="00C33BD6" w:rsidRDefault="000C11B8">
      <w:r>
        <w:t>„Gerade in Regionen, in denen es wenige Arztpraxen gibt, können Apotheken das medizinische Angebot ergänzen. Sie dürfen aber die ärztliche Diagnose und Behandlung nicht ersetzen“, so Rothe.</w:t>
      </w:r>
    </w:p>
    <w:p w14:paraId="744CDBAC" w14:textId="77777777" w:rsidR="00C33BD6" w:rsidRDefault="000C11B8">
      <w:r>
        <w:t xml:space="preserve">Für chronisch Erkrankte wird es zukünftig leichter, ihre Medikamente zu erhalten, wenn sie kurzfristig keinen Arzttermin bekommen, erklärt die Expertin. Denn in bestimmten Fällen dürfen Apotheken ein verschreibungspflichtiges Medikament auch ohne aktuelles Rezept abgeben – jedoch nur in der kleinsten Packungsgröße. Die Voraussetzung ist, dass die behandelnde Arztpraxis die Langzeitmedikation in der elektronischen Patientenakte (ePA) vermerkt hat. </w:t>
      </w:r>
    </w:p>
    <w:p w14:paraId="4394456D" w14:textId="77777777" w:rsidR="00C33BD6" w:rsidRDefault="000C11B8">
      <w:r>
        <w:t>Neu ist auch die sogenannte Telepharmazie – eine pharmazeutische Beratung per Videoschalte: Davon sollen vor allem mobilitätseingeschränkte Patientinnen und Patienten profitieren. „Ein solches Angebot kann den Zugang zu Leistungen grundsätzlich erleichtern. Aber viele ältere Menschen und chronisch Kranke bevorzugen oft das persönliche Gespräch vor Ort, wenn es zum Beispiel um die Nebenwirkungen von Medikamenten geht“, betont Rothe.</w:t>
      </w:r>
    </w:p>
    <w:p w14:paraId="2A384ED3" w14:textId="77777777" w:rsidR="00C33BD6" w:rsidRDefault="000C11B8">
      <w:r>
        <w:t>Sie weist auch auf den größeren Spielraum hin, den Apotheken künftig im Fall von Lieferengpässen haben: Ist ein verordnetes Medikament nicht verfügbar, können sie es häufiger als bisher  üblich gegen ein gleichwertiges Präparat austauschen. Patientinnen und Patienten müssen dann nicht mehr verschiedene Apotheken aufsuchen.</w:t>
      </w:r>
    </w:p>
    <w:p w14:paraId="4D34C187" w14:textId="77777777" w:rsidR="00C33BD6" w:rsidRDefault="000C11B8">
      <w:pPr>
        <w:pStyle w:val="Zwischentitel"/>
      </w:pPr>
      <w:r>
        <w:t>Standorte sichern</w:t>
      </w:r>
    </w:p>
    <w:p w14:paraId="7BF13FD1" w14:textId="77777777" w:rsidR="00C33BD6" w:rsidRDefault="000C11B8">
      <w:r>
        <w:t xml:space="preserve">Um der Schließung von Apotheken entgegenzuwirken, sollen diese finanziell bessergestellt werden. Konkret bedeutet dies, dass sich der Festbetrag, den sie für jede abgegebene verschreibungspflichtige Arzneimittelpackung erhalten, erhöht. Auch die Notdienstpauschalen steigen. Für Apothekerinnen und Apotheker wird es zudem einfacher, Zweigstellen zu eröffnen und selbst die Öffnungszeiten festzulegen. </w:t>
      </w:r>
    </w:p>
    <w:p w14:paraId="712A24B7" w14:textId="77777777" w:rsidR="00C33BD6" w:rsidRDefault="000C11B8">
      <w:r>
        <w:t xml:space="preserve">Trotz der Verbesserungen sieht der VdK Fallstricke. „Auch künftig darf es keine Apotheken ohne menschliches Personal geben, und digitale Angebote dürfen den Austausch vor Ort nicht vollständig ersetzen. Die persönliche Beratung bleibt aus unserer Sicht für die Patientinnen und Patienten unverzichtbar“, stellt Rothe klar. Zudem muss die Kostenübernahme durch die gesetzlichen Krankenkassen garantiert sein, wenn Apotheken die Gesundheitsleistungen erbringen. </w:t>
      </w:r>
      <w:r>
        <w:rPr>
          <w:b/>
        </w:rPr>
        <w:t>Kristin Enge</w:t>
      </w:r>
    </w:p>
    <w:p w14:paraId="78CF80FB" w14:textId="77777777" w:rsidR="00C33BD6" w:rsidRDefault="000C11B8">
      <w:pPr>
        <w:pStyle w:val="berschrift1"/>
      </w:pPr>
      <w:bookmarkStart w:id="17" w:name="_Toc239062681"/>
      <w:r>
        <w:lastRenderedPageBreak/>
        <w:t>Apotheke hilft beim digitalen Arztbesuch</w:t>
      </w:r>
      <w:bookmarkEnd w:id="17"/>
    </w:p>
    <w:p w14:paraId="4B940ACE" w14:textId="77777777" w:rsidR="00C33BD6" w:rsidRDefault="000C11B8">
      <w:pPr>
        <w:pStyle w:val="Standard-Fett"/>
      </w:pPr>
      <w:r>
        <w:t>Assistierte Telemedizin soll den Zugang zur Videosprechstunde erleichtern</w:t>
      </w:r>
    </w:p>
    <w:p w14:paraId="096F50CA" w14:textId="77777777" w:rsidR="00C33BD6" w:rsidRDefault="000C11B8">
      <w:pPr>
        <w:pStyle w:val="Vorspann"/>
      </w:pPr>
      <w:r>
        <w:t>Seit 1. Juli können Apotheken freiwillig die sogenannte assistierte Telemedizin (aTM) anbieten. Sie soll jenen Menschen den Zugang zur ärztlichen Videosprechstunde ermöglichen, die Unterstützung benötigen.</w:t>
      </w:r>
    </w:p>
    <w:p w14:paraId="0E7B0198" w14:textId="77777777" w:rsidR="00C33BD6" w:rsidRDefault="000C11B8">
      <w:r>
        <w:t xml:space="preserve">Bei gesundheitlichen Anliegen können Patientinnen und Patienten ärztliche Videosprechstunden nutzen. Doch wer kein geeignetes Smartphone, Tablet oder keinen Computer besitzt, kann das Angebot häufig nicht wahrnehmen. Ähnliches gilt auch für Menschen mit Behinderung, chronischer Erkrankung oder anderer Einschränkung. Die aTM in den Apotheken soll diese Lücke schließen sowie in dringenden Fällen eine schnelle erste Einschätzung ermöglichen. </w:t>
      </w:r>
    </w:p>
    <w:p w14:paraId="1FF8DE24" w14:textId="77777777" w:rsidR="00C33BD6" w:rsidRDefault="000C11B8">
      <w:r>
        <w:t xml:space="preserve">Für die aTM stellen Apotheken in einem separaten Raum die Technik bereit und unterstützen bei der Vorbereitung der Videosprechstunde. Das Gespräch führen Patientin oder Patient dann allein und vertraulich mit der Ärztin oder dem Arzt. Voraussetzung dafür ist, dass beide sich bereits kennen. </w:t>
      </w:r>
    </w:p>
    <w:p w14:paraId="296ECE37" w14:textId="77777777" w:rsidR="00C33BD6" w:rsidRDefault="000C11B8">
      <w:r>
        <w:t xml:space="preserve">Haben Betroffene noch keine behandelnde Arztpraxis, können Apothekerinnen und Apotheker eine standardisierte Ersteinschätzung vornehmen: Sie stellen fest, ob eine Videosprechstunde ausreicht, und vermitteln diese. Falls nötig, verweisen sie die Patientin oder den Patienten an eine Praxis oder Klinik. Auch bei der aTM gelte grundsätzlich die freie Arztwahl, stellt Jan-Niklas Francke, Vorstandsmitglied des Deutschen Apothekerverbands (DAV), in einem Interview mit der „Pharmazeutischen Zeitung“ klar. </w:t>
      </w:r>
    </w:p>
    <w:p w14:paraId="1AE9E43B" w14:textId="77777777" w:rsidR="00C33BD6" w:rsidRDefault="000C11B8">
      <w:r>
        <w:t>Die Apotheken können die aTM als Kassenleistung für gesetzlich Versicherte direkt mit der Krankenkasse abrechnen. Dazu müssen sie mit der Patientin oder dem Patienten eine Vereinbarung über eine Ersteinschätzung beziehungsweise Durchführung der Videosprechstunde abschließen. Diese liegt derzeit noch in Papierform vor – eine digitale Alternative wird erarbeitet, erklärt Francke gegenüber der „Pharmazeutischen Zeitung“.</w:t>
      </w:r>
    </w:p>
    <w:p w14:paraId="19E57384" w14:textId="77777777" w:rsidR="00C33BD6" w:rsidRDefault="000C11B8">
      <w:pPr>
        <w:pStyle w:val="Zwischentitel"/>
      </w:pPr>
      <w:r>
        <w:t>Noch im Aufbau</w:t>
      </w:r>
    </w:p>
    <w:p w14:paraId="128D5EC1" w14:textId="77777777" w:rsidR="00C33BD6" w:rsidRDefault="000C11B8">
      <w:r>
        <w:t xml:space="preserve">Trotz offiziellem Start am 1. Juli  müssen die Apotheken vielerorts noch die notwendigen Voraussetzungen für die aTM schaffen. Es ist  davon auszugehen, dass die Leistung zunächst in wenigen der rund 16 600 Apotheken in Deutschland verfügbar sein wird. </w:t>
      </w:r>
    </w:p>
    <w:p w14:paraId="5478D6BF" w14:textId="77777777" w:rsidR="00C33BD6" w:rsidRDefault="000C11B8">
      <w:r>
        <w:t xml:space="preserve">Auf der Webseite </w:t>
      </w:r>
      <w:hyperlink r:id="rId14">
        <w:r>
          <w:rPr>
            <w:color w:val="0015B7"/>
          </w:rPr>
          <w:t>www.apoguide.de</w:t>
        </w:r>
      </w:hyperlink>
      <w:r>
        <w:t xml:space="preserve"> können sich Interessierte einen Überblick darüber verschaffen, welche Leistungen einzelne Apotheken anbieten. Hier ist es möglich, über die </w:t>
      </w:r>
      <w:r>
        <w:lastRenderedPageBreak/>
        <w:t xml:space="preserve">Ortssuche Apotheken zu finden und verschiedene Sprachen sowie Angebote – etwa Impfungen oder die aTM – als Filter auszuwählen. </w:t>
      </w:r>
      <w:r>
        <w:rPr>
          <w:b/>
        </w:rPr>
        <w:t>Kristin Enge</w:t>
      </w:r>
    </w:p>
    <w:p w14:paraId="3AD345EA" w14:textId="77777777" w:rsidR="00C33BD6" w:rsidRDefault="000C11B8">
      <w:pPr>
        <w:pStyle w:val="berschrift1"/>
      </w:pPr>
      <w:bookmarkStart w:id="18" w:name="_Toc239062682"/>
      <w:r>
        <w:t>Borreliose-Fälle nehmen zu</w:t>
      </w:r>
      <w:bookmarkEnd w:id="18"/>
    </w:p>
    <w:p w14:paraId="562DE465" w14:textId="77777777" w:rsidR="00C33BD6" w:rsidRDefault="000C11B8">
      <w:pPr>
        <w:pStyle w:val="Standard-Fett"/>
      </w:pPr>
      <w:r>
        <w:t>Bayern und Ostdeutschland besonders betroffen</w:t>
      </w:r>
    </w:p>
    <w:p w14:paraId="399FCDFC" w14:textId="77777777" w:rsidR="00C33BD6" w:rsidRDefault="000C11B8">
      <w:pPr>
        <w:pStyle w:val="Vorspann"/>
      </w:pPr>
      <w:r>
        <w:t>Die von Zecken übertragene Erkrankung Borreliose tritt nach Zahlen des Zentralinstituts für die kassenärztliche Versorgung (Zi) immer häufiger auf. Regionale Schwerpunkte liegen in Bayern und Ostdeutschland.</w:t>
      </w:r>
    </w:p>
    <w:p w14:paraId="42AE077A" w14:textId="77777777" w:rsidR="00C33BD6" w:rsidRDefault="000C11B8">
      <w:r>
        <w:t>138 107 gesetzlich Versicherte waren 2024 laut kassenärztlichen Abrechnungsdaten mit Borreliose infiziert. Die Erkrankung kann vielseitige Symptome hervorrufen, verschiedene Organsysteme betreffen – insbesondere Haut, Nervensystem, Gelenke und Herz – und unterschiedlich schwer verlaufen. Nicht alle Infizierten ordnen ihre Beschwerden einem Zeckenstich zu. Es dürfte also noch mehr Erkrankungen geben. Im frühen Krankheitsstadium erfolgt die Behandlung mit Antibiotika.</w:t>
      </w:r>
    </w:p>
    <w:p w14:paraId="29619F60" w14:textId="77777777" w:rsidR="00C33BD6" w:rsidRDefault="000C11B8">
      <w:r>
        <w:t xml:space="preserve">Die erfassten Krankheitszahlen steigen überall, doch in einigen Regionen ist die Gefahr einer Infektion deutlich größer. Mit 361 Fällen je 100 000 Versicherten steht Sachsen an der Spitze. Es folgen Thüringen (342), Bayern (311), Brandenburg (310) und Mecklenburg-Vorpommern (310). Höchstwerte auf Kreisebene verzeichnen Freyung-Grafenau (Bayern/703) und der Saale-Holzland-Kreis (Thüringen/639). Zu besonderer Vorsicht mahnt das Zi im östlichen Niederbayern, in Thüringen und in den sächsischen Grenzregionen zu Tschechien. </w:t>
      </w:r>
    </w:p>
    <w:p w14:paraId="212BE75D" w14:textId="77777777" w:rsidR="00C33BD6" w:rsidRDefault="000C11B8">
      <w:r>
        <w:t xml:space="preserve">Wegen der milden Winter und steigenden Jahrestemperaturen erhöhe sich die Zeckendichte und damit die beinahe ganzjährige Ansteckungsgefahr, so das Zi. Anders als bei der auch durch Zecken übertragenen FSME-Erkrankung gibt es keinen Borreliose-Impfstoff. Lange Kleidung und Anti-Insektenspray können Schutz bieten.  </w:t>
      </w:r>
      <w:r>
        <w:rPr>
          <w:b/>
        </w:rPr>
        <w:t>bsc</w:t>
      </w:r>
    </w:p>
    <w:p w14:paraId="2C57AB2F" w14:textId="77777777" w:rsidR="00C33BD6" w:rsidRDefault="000C11B8">
      <w:pPr>
        <w:pStyle w:val="berschrift1"/>
      </w:pPr>
      <w:bookmarkStart w:id="19" w:name="_Toc239062683"/>
      <w:r>
        <w:t>Jodmangel weit verbreitet</w:t>
      </w:r>
      <w:bookmarkEnd w:id="19"/>
    </w:p>
    <w:p w14:paraId="3A4F0018" w14:textId="77777777" w:rsidR="00C33BD6" w:rsidRDefault="000C11B8">
      <w:pPr>
        <w:pStyle w:val="Standard-Fett"/>
      </w:pPr>
      <w:r>
        <w:t>DGE gibt Tipps, um die Schilddrüsenfunktion zu unterstützen</w:t>
      </w:r>
    </w:p>
    <w:p w14:paraId="03C36047" w14:textId="77777777" w:rsidR="00C33BD6" w:rsidRDefault="000C11B8">
      <w:pPr>
        <w:pStyle w:val="Vorspann"/>
      </w:pPr>
      <w:r>
        <w:t xml:space="preserve">Jod gehört zu den lebensnotwendigen Spurenelementen und kann nicht vom Körper selbst gebildet werden. Etwa jeder Dritte in Deutschland ist mit Jod unterversorgt. </w:t>
      </w:r>
    </w:p>
    <w:p w14:paraId="7951492C" w14:textId="77777777" w:rsidR="00C33BD6" w:rsidRDefault="000C11B8">
      <w:r>
        <w:lastRenderedPageBreak/>
        <w:t xml:space="preserve">So haben laut Daten des Robert Koch-Instituts (RKI) 44 Prozent der Kinder und Jugendlichen und 32 Prozent der Erwachsenen ein Risiko für einen Jodmangel. Dabei ist Jod für Knochen, Wachstum und die Entwicklung des Gehirns unentbehrlich. Sichtbares Zeichen eines Jodmangels ist die Bildung eines Kropfes, auch Struma genannt. </w:t>
      </w:r>
    </w:p>
    <w:p w14:paraId="3E7124D4" w14:textId="77777777" w:rsidR="00C33BD6" w:rsidRDefault="000C11B8">
      <w:r>
        <w:t>„Ein Jodmangel führt zunächst zu einer Absenkung der Schilddrüsenhormone im Blut. Die Schilddrüse reagiert darauf mit einem vermehrten Wachstum“, erklärt Dr. Claudia Müller vom Referat für Öffentlichkeitsarbeit bei der Deutschen Gesellschaft für Ernährung (DGE). Müller: „Besonders schwerwiegend sind die Folgen eines Jodmangels in der Schwangerschaft sowie im Säuglings- und Kleinkindalter. Im ungünstigsten Fall treten dauerhafte Entwicklungsstörungen des Skelett- und Nervensystems auf.“</w:t>
      </w:r>
    </w:p>
    <w:p w14:paraId="159EBEFF" w14:textId="77777777" w:rsidR="00C33BD6" w:rsidRDefault="000C11B8">
      <w:pPr>
        <w:pStyle w:val="Zwischentitel"/>
      </w:pPr>
      <w:r>
        <w:t>Mangel vorbeugen</w:t>
      </w:r>
    </w:p>
    <w:p w14:paraId="0611F849" w14:textId="77777777" w:rsidR="00C33BD6" w:rsidRDefault="000C11B8">
      <w:r>
        <w:t xml:space="preserve">„Der Mensch benötigt Jod für die Schilddrüsenhormone T3 und T4, die an allen wichtigen Stoffwechselprozessen des Körpers – wie Energie-, Kohlenhydrat- und Fettstoffwechsel – sowie an der Knochenbildung beteiligt sind“, sagt die Expertin der DGE. Diese regen die Wärmeproduktion an und sorgen für eine gleichbleibende Körpertemperatur. </w:t>
      </w:r>
    </w:p>
    <w:p w14:paraId="7A6EAC1B" w14:textId="77777777" w:rsidR="00C33BD6" w:rsidRDefault="000C11B8">
      <w:r>
        <w:t xml:space="preserve">Um einem Mangel vorzubeugen, muss Jod regelmäßig mit der Nahrung zugeführt werden. Für Jugendliche und Erwachsene empfiehlt die DGE 150 Mikrogramm (μg) Jod pro Tag. „Natürlicherweise sind nur marine Lebensmittel wie Seefisch, Meeresfrüchte und Algen reich an diesem Spurenelement. Die beste Jodquelle ist Seefisch. Milch, Milchprodukte und Eier sind bei entsprechender Fütterung der Tiere ebenfalls gute Jodlieferanten“, sagt Müller. </w:t>
      </w:r>
    </w:p>
    <w:p w14:paraId="02CD92BB" w14:textId="77777777" w:rsidR="00C33BD6" w:rsidRDefault="000C11B8">
      <w:r>
        <w:t>Der Jodbedarf kann ohne die Verwendung von jodiertem Speisesalz nur schwer gedeckt werden. Für eine ausreichende Jodversorgung sollte daher zusätzlich jodiertes Speisesalz in der Küche verwendet werden – „aber sparsam“, so die DGE. Weitere Informationen gibt es im Internet unter www.dge.de/gesunde-ernaehrung/faq/jod/</w:t>
      </w:r>
    </w:p>
    <w:p w14:paraId="2382BA6C" w14:textId="77777777" w:rsidR="00C33BD6" w:rsidRDefault="000C11B8">
      <w:r>
        <w:t>Wer sich unsicher ist, sollte eine Ärztin oder einen Arzt um Rat fragen, um optimal versorgt zu sein. Denn auch zu viel Jod, etwa durch Nahrungsergänzungsmittel, kann Probleme bereiten. Mithilfe einer Ultraschalluntersuchung wird in der Arztpraxis festgestellt, ob die Schilddrüse vergrößert ist – was ein häufiges Anzeichen für einen Jodmangel ist. Für die direkte Bestimmung der Jodversorgung wird normalerweise der Urin untersucht. Der Wert kann auch per Blutabnahme im Serum ermittelt werden.</w:t>
      </w:r>
    </w:p>
    <w:p w14:paraId="69367456" w14:textId="77777777" w:rsidR="00C33BD6" w:rsidRDefault="000C11B8">
      <w:r>
        <w:rPr>
          <w:b/>
        </w:rPr>
        <w:t>Petra J. Huschke</w:t>
      </w:r>
    </w:p>
    <w:p w14:paraId="6919F370" w14:textId="77777777" w:rsidR="00C33BD6" w:rsidRDefault="000C11B8">
      <w:pPr>
        <w:pStyle w:val="berschrift1"/>
      </w:pPr>
      <w:bookmarkStart w:id="20" w:name="_Toc239062684"/>
      <w:r>
        <w:lastRenderedPageBreak/>
        <w:t>Softdrinks und Fruchtsäfte enthalten viel Fruktose</w:t>
      </w:r>
      <w:bookmarkEnd w:id="20"/>
    </w:p>
    <w:p w14:paraId="239CF49E" w14:textId="77777777" w:rsidR="00C33BD6" w:rsidRDefault="000C11B8">
      <w:pPr>
        <w:pStyle w:val="Standard-Fett"/>
      </w:pPr>
      <w:r>
        <w:t>Fruchtzucker kann die Nieren nachhaltig schädigen –  er ist in vielen Produkten enthalten</w:t>
      </w:r>
    </w:p>
    <w:p w14:paraId="57611E93" w14:textId="77777777" w:rsidR="00C33BD6" w:rsidRDefault="000C11B8">
      <w:pPr>
        <w:pStyle w:val="Vorspann"/>
      </w:pPr>
      <w:r>
        <w:t xml:space="preserve">Wer das Wort „Fruchtzucker“ hört, denkt zunächst an gesundes  Obst. Doch Fruktose wird auch zahlreichen Getränken und Fertigprodukten zugesetzt, häufig in Form von Fruktose-Glukose-Sirup oder Maissirup. Der übermäßige Verzehr kann den  Nieren schaden.  </w:t>
      </w:r>
    </w:p>
    <w:p w14:paraId="43DECAB0" w14:textId="77777777" w:rsidR="00C33BD6" w:rsidRDefault="000C11B8">
      <w:r>
        <w:t>„Fruktose ist kein ‚gesünderer‘ Zucker – im Gegenteil: In großen Mengen kann sie über verschiedene Stoffwechselwege die Nieren massiv beeinträchtigen“, informiert die Deutsche Gesellschaft für Nephrologie (DGfN). Besonders kritisch sei der Konsum von gesüßten Getränken, weil der Zucker hier schnell und in hoher Konzentration aufgenommen werde. Schon ein halber Liter Softdrink könne mehr Zucker enthalten, als für Erwachsene pro Tag empfohlen wird.</w:t>
      </w:r>
    </w:p>
    <w:p w14:paraId="5512A13F" w14:textId="77777777" w:rsidR="00C33BD6" w:rsidRDefault="000C11B8">
      <w:r>
        <w:t xml:space="preserve">„Problematisch ist nicht die Fruktose aus frischem Obst, sondern der zugesetzte Fruchtzucker in industriell hergestellten Lebensmitteln“, stellt Professorin Dr. Sylvia Stracke, Bereichsleiterin für Nephrologie und Hypertensiologie an der Universitätsmedizin Greifswald und Pressesprecherin der DGfN, klar. Er findet sich unter anderem in Limonaden, Eistees, Soft- und Energydrinks, aber auch in Fruchtjoghurts, Müsliriegeln und Desserts, Ketchup, Fertigsaucen, Dressings sowie in Backwaren und Snacks. </w:t>
      </w:r>
    </w:p>
    <w:p w14:paraId="46C0C986" w14:textId="77777777" w:rsidR="00C33BD6" w:rsidRDefault="000C11B8">
      <w:r>
        <w:t xml:space="preserve">Fruktose wird – anders als Glukose – überwiegend in der Leber sowie in den Nieren verstoffwechselt. Ein hoher Fruktosekonsum begünstigt die Entstehung von Übergewicht, Fettleber und Insulinresistenz. Das  wiederum kann die Entstehung von Bluthochdruck und Typ-2-Diabetes begünstigen. </w:t>
      </w:r>
    </w:p>
    <w:p w14:paraId="6CFFF923" w14:textId="77777777" w:rsidR="00C33BD6" w:rsidRDefault="000C11B8">
      <w:pPr>
        <w:pStyle w:val="Zwischentitel"/>
      </w:pPr>
      <w:r>
        <w:t>Harnsäurespiegel erhöht</w:t>
      </w:r>
    </w:p>
    <w:p w14:paraId="33059D4A" w14:textId="77777777" w:rsidR="00C33BD6" w:rsidRDefault="000C11B8">
      <w:r>
        <w:t>„Beide Erkrankungen zählen zu den größten Risikofaktoren für eine chronische Nierenerkrankung“, betont Stracke. Zudem belegen zahlreiche Studien, dass hohe Mengen an Fruktose den Harnsäurespiegel erhöhen können. Dieser steht wiederum in Zusammenhang mit Gicht, Nierensteinen und Entzündungsprozessen in der Niere. Gleichzeitig fördert Fruktose die Bildung von Fett und Entzündungen im Körper, die auch die feinen Blutgefäße der Nieren schädigen können.</w:t>
      </w:r>
    </w:p>
    <w:p w14:paraId="796FF72C" w14:textId="77777777" w:rsidR="00C33BD6" w:rsidRDefault="000C11B8">
      <w:r>
        <w:t xml:space="preserve">Die DGfN empfiehlt, zuckergesüßte Getränke im Alltag konsequent zu reduzieren. Stattdessen solle man seinen Durst mit Wasser und ungesüßtem Tee stillen und Kaffee ohne Zucker genießen. Hilfreich ist es außerdem, bei Produkten wie Müsliriegeln oder Frühstückscerealien </w:t>
      </w:r>
      <w:r>
        <w:lastRenderedPageBreak/>
        <w:t>die Zutatenliste zu prüfen. Sind Fruktose-Glukose-Sirup, Maissirup oder Fruchtzucker enthalten, sollte das Produkt gemieden werden.</w:t>
      </w:r>
    </w:p>
    <w:p w14:paraId="576A4446" w14:textId="77777777" w:rsidR="00C33BD6" w:rsidRDefault="000C11B8">
      <w:r>
        <w:t>Nierenkrankheiten verlaufen häufig lange unbemerkt. Um die Nieren gesund zu erhalten, sollte man laut DGfN Normalgewicht anstreben und halten. Wer regelmäßig seine Nierenwerte sowie Blutdruck und Blutzucker kontrollieren lässt, kann sein persönliches Risiko senken. Menschen, die bereits Bluthochdruck und eine Diabetes-Erkrankung haben, wird geraten, diese konsequent zu behandeln.</w:t>
      </w:r>
    </w:p>
    <w:p w14:paraId="22CA23D9" w14:textId="77777777" w:rsidR="00C33BD6" w:rsidRDefault="000C11B8">
      <w:pPr>
        <w:pStyle w:val="Zwischentitel"/>
      </w:pPr>
      <w:r>
        <w:t>Mehr Aufklärung</w:t>
      </w:r>
    </w:p>
    <w:p w14:paraId="3FCDFD52" w14:textId="77777777" w:rsidR="00C33BD6" w:rsidRDefault="000C11B8">
      <w:r>
        <w:t>Angesichts der steigenden Zahl von Menschen mit chronischen Nierenerkrankungen fordert die DGfN wirksame gesundheitspolitische Maßnahmen, um den Zuckergehalt in Getränken und Fertigprodukten zu reduzieren. Wünschenswert wären eine stärkere gesundheitliche Aufklärung, eine klare Nährwertkennzeichnung sowie verbindliche Ziele, um zugesetzten Zucker zu reduzieren.</w:t>
      </w:r>
    </w:p>
    <w:p w14:paraId="5C7C0330" w14:textId="77777777" w:rsidR="00C33BD6" w:rsidRDefault="000C11B8">
      <w:r>
        <w:t xml:space="preserve">Zugleich fordert die Gesellschaft  die Politik auf, eine Zuckersteuer auf stark gesüßte Getränke einzuführen. Damit schließt sie sich der Empfehlung der Deutschen Allianz Nichtübertragbare Krankheiten, der Bundesärztekammer sowie der Nationalen Akademie der Wissenschaften Leopoldina an.   </w:t>
      </w:r>
      <w:r>
        <w:rPr>
          <w:b/>
        </w:rPr>
        <w:t>Annette Liebmann</w:t>
      </w:r>
    </w:p>
    <w:p w14:paraId="1C931E75" w14:textId="3AAD1D99" w:rsidR="00C33BD6" w:rsidRDefault="000C11B8">
      <w:pPr>
        <w:pStyle w:val="berschrift1"/>
      </w:pPr>
      <w:bookmarkStart w:id="21" w:name="_Toc239062685"/>
      <w:r>
        <w:t>Mit Musik</w:t>
      </w:r>
      <w:r w:rsidR="00E74904">
        <w:t xml:space="preserve"> </w:t>
      </w:r>
      <w:r>
        <w:t>Schmerzen lindern</w:t>
      </w:r>
      <w:bookmarkEnd w:id="21"/>
    </w:p>
    <w:p w14:paraId="5304360F" w14:textId="77777777" w:rsidR="00C33BD6" w:rsidRDefault="000C11B8">
      <w:pPr>
        <w:pStyle w:val="Vorspann"/>
      </w:pPr>
      <w:r>
        <w:t xml:space="preserve">Bei chronischen Schmerzen kommen meist Medikamente, operative Eingriffe, Physiotherapie und Entspannungsverfahren zum Einsatz. Aber auch Musik kann dabei helfen, Schmerzen zu lindern und den Leidensdruck zu reduzieren. </w:t>
      </w:r>
    </w:p>
    <w:p w14:paraId="639AC932" w14:textId="77777777" w:rsidR="00C33BD6" w:rsidRDefault="000C11B8">
      <w:r>
        <w:t xml:space="preserve">Studien belegen, dass Musik neuronale Schaltkreise anspricht, die sowohl an der Schmerzverarbeitung als auch an der Belohnungserfahrung beteiligt sind. „Musiktherapie löst Verspannungen und verbessert den emotionalen Umgang mit Schmerz“, erläutert Prof. Dr. Alexander F. Wormit, der klinische Musiktherapie an der SRH University of Applied Sciences Heidelberg lehrt. Darüber hinaus wirkt sie sich positiv auf Stress- und Angstwerte, Müdigkeit, physiologische Reaktionen und negative Gedanken aus. Der größte positive Effekt entsteht, wenn man sich mit seiner Lieblingsmusik auseinandersetzt, indem man ein Instrument spielt oder sich mit Liedtexten beschäftigt. </w:t>
      </w:r>
    </w:p>
    <w:p w14:paraId="442564A5" w14:textId="77777777" w:rsidR="00C33BD6" w:rsidRDefault="000C11B8">
      <w:r>
        <w:t xml:space="preserve">Laut Wormit können die Reaktionen auf Musiktherapiesitzungen sehr individuell ausfallen. Besonders gut geeignet ist die Therapie für Menschen, die Schwierigkeiten haben, mit ihren Emotionen umzugehen, die sich nicht öffnen können oder sich schlecht spüren. Um akute Schmerzschübe besser zu bewältigen, können Schmerzgeplagte zudem versuchen, Musik auch allein ohne therapeutische Begleitung zu Hause einzusetzen. </w:t>
      </w:r>
      <w:r>
        <w:rPr>
          <w:b/>
        </w:rPr>
        <w:t>mib</w:t>
      </w:r>
    </w:p>
    <w:p w14:paraId="6992F3D7" w14:textId="77777777" w:rsidR="00C33BD6" w:rsidRDefault="000C11B8">
      <w:pPr>
        <w:pStyle w:val="berschrift1"/>
      </w:pPr>
      <w:bookmarkStart w:id="22" w:name="_Toc239062686"/>
      <w:r>
        <w:lastRenderedPageBreak/>
        <w:t>Familienpolitik macht Kinder zu Leidtragenden</w:t>
      </w:r>
      <w:bookmarkEnd w:id="22"/>
    </w:p>
    <w:p w14:paraId="45A18082" w14:textId="77777777" w:rsidR="00C33BD6" w:rsidRDefault="000C11B8">
      <w:pPr>
        <w:pStyle w:val="Standard-Fett"/>
      </w:pPr>
      <w:r>
        <w:t>Einschnitte beim Unterhaltsvorschuss und Streichung des Kindersofortzuschlags stehen in der Kritik</w:t>
      </w:r>
    </w:p>
    <w:p w14:paraId="5FCBC94D" w14:textId="77777777" w:rsidR="00C33BD6" w:rsidRDefault="000C11B8">
      <w:pPr>
        <w:pStyle w:val="Vorspann"/>
      </w:pPr>
      <w:r>
        <w:t xml:space="preserve">Die Bundesregierung will den Sozialstaat reformieren und versteht darunter offenbar in erster Linie, bei den Bedürftigsten zu sparen. Mit ihren Plänen riskiert sie, dass das Armutsrisiko von Kindern und Alleinerziehenden weiter steigt. </w:t>
      </w:r>
    </w:p>
    <w:p w14:paraId="27F67327" w14:textId="77777777" w:rsidR="00C33BD6" w:rsidRDefault="000C11B8">
      <w:r>
        <w:t xml:space="preserve">Bei der Suche nach Einsparmöglichkeiten im Haushalt rücken familienpolitische Leistungen in den Fokus. Laut Bundesfamilienministerium soll der staatliche Unterhaltsvorschuss künftig bis zum Ablauf des 15. Lebensjahrs gezahlt werden. Bislang gilt ein Anspruch bis zum 18. Geburtstag. </w:t>
      </w:r>
    </w:p>
    <w:p w14:paraId="34AC7363" w14:textId="77777777" w:rsidR="00C33BD6" w:rsidRDefault="000C11B8">
      <w:r>
        <w:t xml:space="preserve">Alleinerziehende können Unterhaltsvorschuss beantragen, wenn der andere Elternteil – meistens ist es der Vater – nicht oder nicht in ausreichendem Maß Unterhalt zahlt. Der Staat kann sich dieses Geld von den säumigen Elternteilen zurückholen. Das gelingt allerdings nur in einer Minderheit der Fälle. Oft bleibt der Staat auf den Kosten sitzen: Von 3,2 Milliarden Euro, die im Jahr 2024 gezahlt worden sind, konnten weniger als 600 Millionen Euro bei Unterhaltsschuldnern eingetrieben werden. </w:t>
      </w:r>
    </w:p>
    <w:p w14:paraId="56D37D19" w14:textId="77777777" w:rsidR="00C33BD6" w:rsidRDefault="000C11B8">
      <w:r>
        <w:t>Begründet wird der Plan, den Unterhaltsvorschuss nur noch bis zum 16. Geburtstag zu zahlen, mit den Sparvorgaben der Regierung, die eine Entlastung der Kommunen vorsehen. Für einen großen Teil des Unterhaltsvorschusses kommen die Städte und Gemeinden auf. Der Verband alleinerziehender Mütter und Väter (VAMV) warnt vor den Auswirkungen der Pläne. Bundesgeschäftsführerin Miriam Hoheisel sagt, Alleinerziehende seien in großer Sorge, wie sie dann noch über die Runden kommen können.</w:t>
      </w:r>
    </w:p>
    <w:p w14:paraId="0A7303A6" w14:textId="77777777" w:rsidR="00C33BD6" w:rsidRDefault="000C11B8">
      <w:pPr>
        <w:pStyle w:val="Zwischentitel"/>
      </w:pPr>
      <w:r>
        <w:t>394 Euro fehlen</w:t>
      </w:r>
    </w:p>
    <w:p w14:paraId="795FA96E" w14:textId="77777777" w:rsidR="00C33BD6" w:rsidRDefault="000C11B8">
      <w:r>
        <w:t>Anhand eines Beispielhaushalts rechnet sie vor, welche Folgen diese Maßnahme hätte: Eine alleinerziehende Einzelhandelskauffrau in Köln, die 30 Stunden pro Woche arbeitet, verfügt inklusive Kindergeld und Unterhaltsvorschuss für zwei Kinder über rund 2900 Euro im Monat. Nach Abzug von 1300 Euro Miete bleiben 1600 Euro zum Leben. Es besteht Anspruch auf Wohngeld und Kinderzuschlag. Würde der Unterhaltsvorschuss für den 16-jährigen Sohn wegfallen, würden dem Haushalt monatlich 394 Euro fehlen. „Das ist eine Lücke im Haushaltsbudget, die schwer auszugleichen ist. Der Weg in den Grundsicherungsbezug wäre damit sehr wahrscheinlich. Ausgerechnet bei den Kindern zu sparen, die bereits das höchste Armutsrisiko unter den Familien haben, ist nicht akzeptabel“, kritisiert Hoheisel.</w:t>
      </w:r>
    </w:p>
    <w:p w14:paraId="65F3CEA7" w14:textId="77777777" w:rsidR="00C33BD6" w:rsidRDefault="000C11B8">
      <w:pPr>
        <w:pStyle w:val="Zwischentitel"/>
      </w:pPr>
      <w:r>
        <w:t>Mehr Kinder</w:t>
      </w:r>
    </w:p>
    <w:p w14:paraId="554BD9DF" w14:textId="77777777" w:rsidR="00C33BD6" w:rsidRDefault="000C11B8">
      <w:r>
        <w:lastRenderedPageBreak/>
        <w:t xml:space="preserve">Die Zahl derer, für die Unterhaltsvorschuss gezahlt wird, hat sich zwischen den Jahren 2016 und 2024 von 427 031 auf 855 642 fast verdoppelt. Ein Grund ist, dass 2017 die Altersgrenze von 12 auf 18 Jahre angehoben wurde. </w:t>
      </w:r>
    </w:p>
    <w:p w14:paraId="59F22DDB" w14:textId="77777777" w:rsidR="00C33BD6" w:rsidRDefault="000C11B8">
      <w:r>
        <w:t>Hoheisel fordert, dass der Unterhaltsvorschuss weiterhin alle minderjährigen Kinder unterstützen muss, die keinen Kindesunterhalt bekommen. „Statt beim Unterhaltsvorschuss zu kürzen, sollte die Bundesregierung diesen endlich stärken, wie im Koalitionsvertrag versprochen: Der Rückgriff auf den zahlungspflichtigen Elternteil soll verbessert und das Kindergeld wie beim Kindesunterhalt angerechnet werden, also nur zu 50 Prozent. Auf diese Verbesserungen warten Alleinerziehende.“</w:t>
      </w:r>
    </w:p>
    <w:p w14:paraId="3AD60F56" w14:textId="77777777" w:rsidR="00C33BD6" w:rsidRDefault="000C11B8">
      <w:r>
        <w:t xml:space="preserve">Auch der Sozialverband VdK kritisiert die Pläne: „Die Sparwut der Regierung nimmt Kindern echte Startchancen. Erst streicht sie den Kindersofortzuschlag von monatlich 25 Euro. Jetzt sollen auch noch Alleinerziehende, die ohnehin oft strukturell benachteiligt sind, Kürzungen hinnehmen. Die Haushaltskonsolidierung darf nicht zulasten von Kindern und Alleinerziehenden geschehen“, fordert VdK-Präsidentin Verena Bentele. </w:t>
      </w:r>
      <w:r>
        <w:rPr>
          <w:b/>
        </w:rPr>
        <w:t>Jörg Ciszewski</w:t>
      </w:r>
    </w:p>
    <w:p w14:paraId="41173BD8" w14:textId="77777777" w:rsidR="00C33BD6" w:rsidRDefault="000C11B8">
      <w:pPr>
        <w:pStyle w:val="berschrift1"/>
      </w:pPr>
      <w:bookmarkStart w:id="23" w:name="_Toc239062687"/>
      <w:r>
        <w:t>Junge Menschen besser schützen</w:t>
      </w:r>
      <w:bookmarkEnd w:id="23"/>
    </w:p>
    <w:p w14:paraId="335FB2FF" w14:textId="77777777" w:rsidR="00C33BD6" w:rsidRDefault="000C11B8">
      <w:pPr>
        <w:pStyle w:val="Standard-Fett"/>
      </w:pPr>
      <w:r>
        <w:t xml:space="preserve">Verbraucherreport 2026: Konsumangebot überfordert Heranwachsende </w:t>
      </w:r>
    </w:p>
    <w:p w14:paraId="7962BF31" w14:textId="77777777" w:rsidR="00C33BD6" w:rsidRDefault="000C11B8">
      <w:pPr>
        <w:pStyle w:val="Vorspann"/>
      </w:pPr>
      <w:r>
        <w:t>Eine riesige Auswahl und ausgefeiltes Marketing erschweren Kindern und Jugendlichen, sich beim Einkauf zurechtzufinden und gute Entscheidungen zu treffen. Die Verbraucherzentralen sehen darin eine Gefahr und fordern im Rahmen ihres Verbraucherreports 2026 einen besseren gesetzlichen Schutz für junge Menschen.</w:t>
      </w:r>
    </w:p>
    <w:p w14:paraId="5C4DC3D8" w14:textId="77777777" w:rsidR="00C33BD6" w:rsidRDefault="000C11B8">
      <w:r>
        <w:t xml:space="preserve">Kinder und Jugendliche sind auf dem Smartphone, im Fernsehen oder im Supermarkt ständiger Werbung ausgesetzt. Doch oft fehlt ihnen die Erfahrung, um Risiken einzuschätzen, Schulden zu vermeiden oder ungesunde Lebensmittel zu identifizieren. Eine Umfrage im Auftrag des Verbraucherzentrale Bundesverbands (vzbv) zeigt, dass eine große Mehrheit der Befragten den politischen Schutz junger Menschen in vielen Bereichen als unzureichend bewertet. </w:t>
      </w:r>
    </w:p>
    <w:p w14:paraId="2E5F17DA" w14:textId="77777777" w:rsidR="00C33BD6" w:rsidRDefault="000C11B8">
      <w:r>
        <w:t xml:space="preserve">Das Internet und soziale Medien gehören für Kinder und Jugendliche zum Alltag. 87 Prozent der Befragten bewerten im Verbraucherreport 2026 des vzbv den Schutz für Kinder und Jugendlichen gerade im Bereich Social Media und Online-Games als mangelhaft. Algorithmen seien darauf ausgelegt, Nutzende möglichst lange an den Bildschirmen zu halten. Das stelle für Heranwachsende ein besonderes Risiko dar, so der vzbv. </w:t>
      </w:r>
    </w:p>
    <w:p w14:paraId="1122CCA2" w14:textId="77777777" w:rsidR="00C33BD6" w:rsidRDefault="000C11B8">
      <w:r>
        <w:t xml:space="preserve">In Geldfragen sind 82 Prozent der Befragten der Ansicht, dass junge Menschen nicht ausreichend geschützt werden. Sie sehen beim Thema Überschuldung erheblichen Nachbesserungsbedarf. </w:t>
      </w:r>
    </w:p>
    <w:p w14:paraId="7F110C6F" w14:textId="77777777" w:rsidR="00C33BD6" w:rsidRDefault="000C11B8">
      <w:pPr>
        <w:pStyle w:val="Zwischentitel"/>
      </w:pPr>
      <w:r>
        <w:t>Gesunde Ernährung</w:t>
      </w:r>
    </w:p>
    <w:p w14:paraId="4C16F742" w14:textId="77777777" w:rsidR="00C33BD6" w:rsidRDefault="000C11B8">
      <w:r>
        <w:lastRenderedPageBreak/>
        <w:t>Auch im Ernährungsbereich sind 74 Prozent der Befragten der Meinung, dass der bestehende Verbraucherschutz nicht ausreichend ist. Der vzbv fordert Rahmenbedingungen, die eine gesunde Ernährung von jungen Menschen überhaupt erst ermöglichen.</w:t>
      </w:r>
    </w:p>
    <w:p w14:paraId="28187F69" w14:textId="77777777" w:rsidR="00C33BD6" w:rsidRDefault="000C11B8">
      <w:r>
        <w:t xml:space="preserve">Nur 20 Prozent der Befragten geben an, dass die Interessen der Verbraucherinnen und Verbraucher angemessen geschützt werden. Eine deutliche Mehrheit von 79 Prozent spricht sich dafür aus, dass sich die Politik auch stärker um die Belange junger Menschen kümmern sollte, wenn das strengere Vorgaben für Unternehmen und digitale Plattformen bedeuten würde. Der vzbv erklärt, dass in zentralen Lebensbereichen Gesetze und Regulierungen so gestaltet werden müssen, dass Heranwachsende nicht schutzlos dem Markt ausgesetzt sind. Die Ergebnisse des Verbraucherreports seien ein klarer Auftrag an den Gesetzgeber. </w:t>
      </w:r>
    </w:p>
    <w:p w14:paraId="4EDCB037" w14:textId="77777777" w:rsidR="00C33BD6" w:rsidRDefault="000C11B8">
      <w:r>
        <w:t xml:space="preserve">An der Umfrage des forsa-Instituts im Auftrag der vzbv nahmen insgesamt 1502 Personen im Alter ab 14 Jahren teil. Die Umfrage wurde vom 13. bis 24. April 2026 durchgeführt. </w:t>
      </w:r>
      <w:r>
        <w:rPr>
          <w:b/>
        </w:rPr>
        <w:t>Jörg Ciszewski</w:t>
      </w:r>
    </w:p>
    <w:p w14:paraId="03611C5B" w14:textId="4AFAE565" w:rsidR="00C33BD6" w:rsidRDefault="000C11B8">
      <w:pPr>
        <w:pStyle w:val="berschrift1"/>
      </w:pPr>
      <w:bookmarkStart w:id="24" w:name="_Toc239062688"/>
      <w:proofErr w:type="spellStart"/>
      <w:r>
        <w:t>Engagementpreis</w:t>
      </w:r>
      <w:proofErr w:type="spellEnd"/>
      <w:r w:rsidR="00E74904">
        <w:t xml:space="preserve"> </w:t>
      </w:r>
      <w:r>
        <w:t>für Menschen ab 80</w:t>
      </w:r>
      <w:bookmarkEnd w:id="24"/>
    </w:p>
    <w:p w14:paraId="3F897187" w14:textId="77777777" w:rsidR="00C33BD6" w:rsidRDefault="000C11B8">
      <w:pPr>
        <w:pStyle w:val="Vorspann"/>
      </w:pPr>
      <w:r>
        <w:t>Die Stiftung ProAlter hat den Engagementpreis 80plus ausgelobt. Sie will damit Menschen würdigen, die sich im hohen Alter bürgerschaftlich engagieren. Der Einsendeschluss für Vorschläge ist der 11. September.</w:t>
      </w:r>
    </w:p>
    <w:p w14:paraId="16D510CD" w14:textId="1E555718" w:rsidR="00C33BD6" w:rsidRDefault="000C11B8">
      <w:r>
        <w:t xml:space="preserve">Für den Engagementpreis 80plus können Personen vorgeschlagen werden, die im Jahr 2026 mindestens 80 Jahre alt werden und ehrenamtlich aktiv sind. Auf der Webseite </w:t>
      </w:r>
      <w:hyperlink r:id="rId15">
        <w:r>
          <w:rPr>
            <w:color w:val="0015B7"/>
          </w:rPr>
          <w:t>www.stiftung-pro-alter.de/engagementpreis-80plus/preis-2026</w:t>
        </w:r>
      </w:hyperlink>
      <w:r>
        <w:t xml:space="preserve"> finden sich Informationen, wie die Vorschläge einzureichen sind. </w:t>
      </w:r>
    </w:p>
    <w:p w14:paraId="06F24A43" w14:textId="77777777" w:rsidR="00C33BD6" w:rsidRDefault="000C11B8">
      <w:r>
        <w:t xml:space="preserve">Der Engagementpreis 80plus ist mit Preisgeldern in Höhe von insgesamt 10 000 Euro dotiert. Eine Jury entscheidet über die Preisträgerinnen und Preisträger. Die Preisverleihung findet am 7. Dezember 2026 in Köln statt. </w:t>
      </w:r>
    </w:p>
    <w:p w14:paraId="1817B240" w14:textId="77777777" w:rsidR="00C33BD6" w:rsidRDefault="000C11B8">
      <w:r>
        <w:t xml:space="preserve">Laut Freiwilligensurvey 2024 sind in Deutschland fast 37 Prozent der Bevölkerung ab 14 Jahren – insgesamt rund 27 Millionen Menschen – freiwillig engagiert. In der Altersgruppe der ab 75-Jährigen sind es rund 21 Prozent. Sie sind zum Beispiel in der Familie oder Nachbarschaft, in Vereinen, Kirchengemeinden oder Kommunen aktiv. Laut Stiftung ProAlter tragen sie wesentlich zum gesellschaftlichen Zusammenhalt bei. Der Preis soll ein Ausdruck der Wertschätzung sein, zur Nachahmung anregen und für mehr öffentliche Aufmerksamkeit sorgen. </w:t>
      </w:r>
      <w:r>
        <w:rPr>
          <w:b/>
        </w:rPr>
        <w:t>ken</w:t>
      </w:r>
    </w:p>
    <w:p w14:paraId="601E06C8" w14:textId="77777777" w:rsidR="00C33BD6" w:rsidRDefault="000C11B8">
      <w:pPr>
        <w:pStyle w:val="berschrift1"/>
      </w:pPr>
      <w:bookmarkStart w:id="25" w:name="_Toc239062689"/>
      <w:r>
        <w:lastRenderedPageBreak/>
        <w:t>Politische Einstellung hat sich verändert</w:t>
      </w:r>
      <w:bookmarkEnd w:id="25"/>
    </w:p>
    <w:p w14:paraId="7AF71612" w14:textId="77777777" w:rsidR="00C33BD6" w:rsidRDefault="000C11B8">
      <w:pPr>
        <w:pStyle w:val="Vorspann"/>
      </w:pPr>
      <w:r>
        <w:t>Die Haltung junger Leute in Europa zur persönlichen Freiheit und zum Regierungssystem hat sich in den vergangenen Jahren verschoben. Das geht aus Ergebnissen der zehnten Jugendstudie der Tui Stiftung hervor.</w:t>
      </w:r>
    </w:p>
    <w:p w14:paraId="7416B48F" w14:textId="77777777" w:rsidR="00C33BD6" w:rsidRDefault="000C11B8">
      <w:r>
        <w:t>Freiheit von Armut (29 Prozent) und Krankheit (36 Prozent) sowie gleiche Chancen für alle Menschen (41 Prozent) zählen für junge Europäerinnen und Europäer zu den wichtigsten Aspekten von persönlicher Freiheit. Im Vergleich zum Jahr 2022, als Meinungsfreiheit sowie freie und faire Wahlen im Vordergrund standen, haben sich die Prioritäten junger Menschen aktuell weg von politischen Freiheitsrechten hin zu den Grundbedürfnissen verschoben.</w:t>
      </w:r>
    </w:p>
    <w:p w14:paraId="2619D440" w14:textId="77777777" w:rsidR="00C33BD6" w:rsidRDefault="000C11B8">
      <w:r>
        <w:t xml:space="preserve">Ein weiteres Ergebnis: Die Zufriedenheit mit der Demokratie nimmt ab. Nur rund ein Viertel (26 Prozent) der Befragten ist mit der Demokratie, wie sie im eigenen Land besteht, zufrieden. Befragte aus Deutschland (35 Prozent) und Großbritannien (39 Prozent) sind noch am ehesten zufrieden. In Deutschland ist die Unzufriedenheit unter den Befragten seit dem Jahr 2017 allerdings um zehn Prozent auf 31 Prozent gestiegen. </w:t>
      </w:r>
    </w:p>
    <w:p w14:paraId="47F0704B" w14:textId="77777777" w:rsidR="00C33BD6" w:rsidRDefault="000C11B8">
      <w:r>
        <w:t xml:space="preserve">Im Rahmen der Studie „Junges Europa“ wurden im Zeitraum vom 24. April bis 21. Mai 2026 in Deutschland, Großbritannien, Frankreich, Spanien, Italien, Griechenland und Polen 8024 junge Menschen im Alter von 16 bis 26 Jahren online befragt.  </w:t>
      </w:r>
      <w:r>
        <w:rPr>
          <w:b/>
        </w:rPr>
        <w:t>cis</w:t>
      </w:r>
    </w:p>
    <w:p w14:paraId="6E10CD4D" w14:textId="77777777" w:rsidR="00C33BD6" w:rsidRDefault="000C11B8">
      <w:pPr>
        <w:pStyle w:val="berschrift1"/>
      </w:pPr>
      <w:bookmarkStart w:id="26" w:name="_Toc239062690"/>
      <w:r>
        <w:t>Zwischen Wunsch und Wirklichkeit</w:t>
      </w:r>
      <w:bookmarkEnd w:id="26"/>
    </w:p>
    <w:p w14:paraId="15A0FDEF" w14:textId="77777777" w:rsidR="00C33BD6" w:rsidRDefault="000C11B8">
      <w:pPr>
        <w:pStyle w:val="Standard-Fett"/>
      </w:pPr>
      <w:r>
        <w:t>Kinder mit Behinderung haben laut UN-BRK das Recht auf inklusive Bildung – doch der Nachholbedarf in Deutschland ist groß</w:t>
      </w:r>
    </w:p>
    <w:p w14:paraId="5C3A7025" w14:textId="77777777" w:rsidR="00C33BD6" w:rsidRDefault="000C11B8">
      <w:pPr>
        <w:pStyle w:val="Vorspann"/>
      </w:pPr>
      <w:r>
        <w:t>Die meisten Eltern von Kindern mit Behinderung wünschen sich, dass ihr Kind gemeinsam mit anderen in einer inklusiven Schule lernen kann, so das Ergebnis einer aktuellen Studie des Deutschen Instituts für Menschenrechte (DIMR). Doch der Schulalltag sieht oft anders aus.</w:t>
      </w:r>
    </w:p>
    <w:p w14:paraId="48ED2FBB" w14:textId="77777777" w:rsidR="00C33BD6" w:rsidRDefault="000C11B8">
      <w:r>
        <w:t>Hanna ist zwölf Jahre alt und hat bis vor Kurzem eine inklusive Grundschule in Berlin besucht. Sie liebt Musik, tanzt leidenschaftlich gern und erstellt kleine Videos auf ihrem Tablet. Geplant ist ein Wechsel auf eine inklusive Oberschule. Das Mädchen hat das Down-Syndrom und einen Förderschwerpunkt „geistige Entwicklung“.</w:t>
      </w:r>
    </w:p>
    <w:p w14:paraId="4E4CEF2D" w14:textId="77777777" w:rsidR="00C33BD6" w:rsidRDefault="000C11B8">
      <w:r>
        <w:lastRenderedPageBreak/>
        <w:t>„Wir wollten unbedingt, dass unsere Tochter auf eine inklusive Schule geht“, sagt Hannas Mutter Nicole Stangl. Sie habe es immer als Vorteil angesehen, dass die Kinder dort gemeinsam lernen und voneinander profitieren können.</w:t>
      </w:r>
    </w:p>
    <w:p w14:paraId="78806DCE" w14:textId="77777777" w:rsidR="00C33BD6" w:rsidRDefault="000C11B8">
      <w:r>
        <w:t>Ähnlich geht es auch anderen Familien. Laut der Studie „Inklusive Bildung zwischen Wunsch und Wirklichkeit“ des DIMR lehnen 82 Prozent der Eltern schulpflichtiger Kinder mit Behinderung eine getrennte Beschulung ab. 69 Prozent der Eltern, deren Kinder eine Förderschule besuchen, würden ihr Kind lieber auf eine allgemeine Schule schicken, wenn die Bedingungen dort besser wären. Für die Studie wurden bundesweit rund 7500 Eltern von Kindern mit Behinderung befragt.</w:t>
      </w:r>
    </w:p>
    <w:p w14:paraId="72017D95" w14:textId="77777777" w:rsidR="00C33BD6" w:rsidRDefault="000C11B8">
      <w:pPr>
        <w:pStyle w:val="Zwischentitel"/>
      </w:pPr>
      <w:r>
        <w:t>Oft in Förderschulen</w:t>
      </w:r>
    </w:p>
    <w:p w14:paraId="3E3B9FCF" w14:textId="77777777" w:rsidR="00C33BD6" w:rsidRDefault="000C11B8">
      <w:r>
        <w:t>Nach der UN-Behindertenrechtskonvention (UN-BRK) haben Kinder mit Behinderung das Recht auf inklusive Bildung. Doch Deutschland gehört laut DIMR zu den Ländern mit einer der höchsten Exklusionsquoten in Europa. Rund 60 Prozent der Kinder mit sonderpädagogischem Förderbedarf besuchen Förderschulen.</w:t>
      </w:r>
    </w:p>
    <w:p w14:paraId="106EAA95" w14:textId="77777777" w:rsidR="00C33BD6" w:rsidRDefault="000C11B8">
      <w:r>
        <w:t>Nicole Stangl hat während der Grundschulzeit ihrer Tochter viel Positives erlebt. „Hanna wurde gut gefördert“, resümiert sie – auch dank der Unterstützung durch eine Lehrerin und eine pädagogische Unterrichtshilfe. Beide tauschten sich regelmäßig per WhatsApp mit der Mutter aus, etwa zu Hausaufgaben oder Schulmaterial.</w:t>
      </w:r>
    </w:p>
    <w:p w14:paraId="0092DC91" w14:textId="77777777" w:rsidR="00C33BD6" w:rsidRDefault="000C11B8">
      <w:r>
        <w:t xml:space="preserve">Ihr ist aber auch aufgefallen, wie wenig Kinder mit Förderbedarfen im Schulalltag mitgedacht werden. Sie berichtet von einer Verkehrsprüfung, bei der ein inklusives Konzept sowie Material in Leichter Sprache gefehlt haben. „Auch Kinder mit Beeinträchtigung sollten Erfolgserlebnisse haben – selbst wenn sie eine solche Prüfung nicht wie vorgesehen ablegen können“, erklärt sie. Auf Elternabenden geht es immer wieder um Noten oder Klassenarbeiten. „Das betrifft unsere Tochter aber nicht. Die Themen der Kinder mit Förderbedarfen werden hier nur selten angesprochen.“ </w:t>
      </w:r>
    </w:p>
    <w:p w14:paraId="1D245043" w14:textId="77777777" w:rsidR="00C33BD6" w:rsidRDefault="000C11B8">
      <w:r>
        <w:t>Viele Eltern von Kindern mit Behinderung fühlen sich durch die  Organisation des Schulalltags belastet. Knapp 50 Prozent der Eltern mit Kindern an einer allgemeinen Schule empfinden die Situation als sehr anstrengend, an Förderschulen sind es fast 22 Prozent, so die Studie.</w:t>
      </w:r>
    </w:p>
    <w:p w14:paraId="1527ECEA" w14:textId="77777777" w:rsidR="00C33BD6" w:rsidRDefault="000C11B8">
      <w:pPr>
        <w:pStyle w:val="Zwischentitel"/>
      </w:pPr>
      <w:r>
        <w:t>Nur Scheinwahlrecht</w:t>
      </w:r>
    </w:p>
    <w:p w14:paraId="37B8926E" w14:textId="77777777" w:rsidR="00C33BD6" w:rsidRDefault="000C11B8">
      <w:r>
        <w:t>Die Landesregierungen verweisen meist darauf, dass Eltern zwischen Förderschule und allgemeiner Schule wählen können. Dies sei aber oft  nur ein Scheinwahlrecht, so Susann Kroworsch vom DIMR und Co-Autorin der Studie. Häufig sei es nur möglich, sich zwischen einer gut ausgestatteten Förderschule und einer schlecht ausgestatteten Regelschule zu entscheiden. Ein inklusives Schulsystem muss aber so aufgestellt sein, dass es individuelle Förderung und Teilhabe ermöglicht.</w:t>
      </w:r>
    </w:p>
    <w:p w14:paraId="3ED657BF" w14:textId="77777777" w:rsidR="00C33BD6" w:rsidRDefault="000C11B8">
      <w:r>
        <w:t xml:space="preserve">Als problematisch bewertet die Studie zudem die Beratungsgespräche zu Schuleintritt und -wechsel. Hier wird deutlich häufiger der Besuch einer Förderschule empfohlen. In Deutschland beginnt damit für viele Kinder oft ein Weg lebenslanger Exklusion, sagt Kroworsch. Rund 73 Prozent der Schülerinnen und Schüler verlassen diese Schulen ohne Abschluss. Die Folge sind gesonderte Ausbildungswege und Probleme auf dem allgemeinen Arbeitsmarkt. Häufig bleibt nur eine Beschäftigung in einer Werkstatt für Menschen mit Behinderung. „An allgemeinen </w:t>
      </w:r>
      <w:r>
        <w:lastRenderedPageBreak/>
        <w:t>Schulen lernen Schülerinnen und Schüler mit sonderpädagogischem Förderbedarf nachweislich mehr“, betont Kroworsch. Auch diese Fakten gehören in das Beratungsgespräch.</w:t>
      </w:r>
    </w:p>
    <w:p w14:paraId="3FF10B03" w14:textId="77777777" w:rsidR="00C33BD6" w:rsidRDefault="000C11B8">
      <w:pPr>
        <w:pStyle w:val="Zwischentitel"/>
      </w:pPr>
      <w:r>
        <w:t>Gemeinsam lernen</w:t>
      </w:r>
    </w:p>
    <w:p w14:paraId="1D4036A7" w14:textId="77777777" w:rsidR="00C33BD6" w:rsidRDefault="000C11B8">
      <w:r>
        <w:t>Vera Moser, Professorin für Inklusionsforschung an der Goethe-Universität Frankfurt, hat auch an der Studie mitgewirkt. Sie verweist auf die Umsetzungspflicht der UN-BRK: „Inklusion kann man nicht mehr abwählen.“ Die Studienautorinnen sind überzeugt: Gemeinsames Lernen ist möglich, und gelungene inklusive Bildung kommt allen Kindern zugute – ob mit oder ohne Förderbedarf.</w:t>
      </w:r>
    </w:p>
    <w:p w14:paraId="437D5FDD" w14:textId="77777777" w:rsidR="00C33BD6" w:rsidRDefault="000C11B8">
      <w:r>
        <w:t xml:space="preserve">Hannas Mutter hofft, dass ihrer Tochter der Übergang in die weiterführende Schule gut gelingt. „Ich wünsche mir, dass Kinder mit einer Behinderung individuell gefördert werden und ihre Interessen eine größere Rolle spielen. Die Lehrkräfte sollten auf Augenhöhe mit ihnen kommunizieren und sie nicht in Schubladen stecken. Und die Schulen müssen von Anfang an mitdenken, welche Bedarfe und Bedürfnisse die Kinder haben“, sagt Nicole Stangl.  </w:t>
      </w:r>
      <w:r>
        <w:rPr>
          <w:b/>
        </w:rPr>
        <w:t>Kristin Enge</w:t>
      </w:r>
    </w:p>
    <w:p w14:paraId="3BD367CB" w14:textId="77777777" w:rsidR="00C33BD6" w:rsidRDefault="000C11B8">
      <w:pPr>
        <w:pStyle w:val="berschrift1"/>
      </w:pPr>
      <w:bookmarkStart w:id="27" w:name="_Toc239062691"/>
      <w:r>
        <w:t>Ausgleichsabgabe zeigt Wirkung</w:t>
      </w:r>
      <w:bookmarkEnd w:id="27"/>
    </w:p>
    <w:p w14:paraId="3841ADAA" w14:textId="77777777" w:rsidR="00C33BD6" w:rsidRDefault="000C11B8">
      <w:pPr>
        <w:pStyle w:val="Standard-Fett"/>
      </w:pPr>
      <w:r>
        <w:t>Mehr Menschen mit einer Schwerbehinderung sind erwerbstätig</w:t>
      </w:r>
    </w:p>
    <w:p w14:paraId="4AB02135" w14:textId="77777777" w:rsidR="00C33BD6" w:rsidRDefault="000C11B8">
      <w:pPr>
        <w:pStyle w:val="Vorspann"/>
      </w:pPr>
      <w:r>
        <w:t>Jahrelang hat sich der Sozialverband VdK für eine vierte Staffel bei der Ausgleichsabgabe eingesetzt – also für eine höhere Abgabe für Arbeitgeber, die zu wenige Pflichtarbeitsplätze mit schwerbehinderten Menschen besetzen. Mit dem Gesetz zur Förderung eines inklusiven Arbeitsmarkts wurde sie eingeführt. Die ersten Zahlen zeigen: Die Reform wirkt.</w:t>
      </w:r>
    </w:p>
    <w:p w14:paraId="61F6CEE9" w14:textId="77777777" w:rsidR="00C33BD6" w:rsidRDefault="000C11B8">
      <w:r>
        <w:t>Von 2023 auf 2024 stieg die Zahl der beschäftigten schwerbehinderten Menschen um 16 508 auf rund 1,14 Millionen – das entspricht einem Plus von 1,5 Prozent. Zum Vergleich: Die sozialversicherungspflichtige Beschäftigung insgesamt wuchs im selben Zeitraum nur um 0,4 Prozent.</w:t>
      </w:r>
    </w:p>
    <w:p w14:paraId="546CA69F" w14:textId="77777777" w:rsidR="00C33BD6" w:rsidRDefault="000C11B8">
      <w:r>
        <w:t>Die erhöhten Staffelbeträge wurden erstmals 2024 angewandt: bis zu 720 Euro monatlich pro unbesetztem Pflichtarbeitsplatz. Die Wirkung ist spürbar, wenn auch kein großer Sprung: Der Anteil der Arbeitgeber ohne schwerbehinderte Beschäftigte lag 2024 bei 24,7 Prozent – und damit erstmals seit 2014 unter der 25-Prozent-Marke. Bei größeren Betrieben mit mehr als 60 Pflichtarbeitsplätzen sank die Zahl der „Nullbeschäftiger“ sogar von 4277 auf 3488.</w:t>
      </w:r>
    </w:p>
    <w:p w14:paraId="674103C4" w14:textId="77777777" w:rsidR="00C33BD6" w:rsidRDefault="000C11B8">
      <w:r>
        <w:t xml:space="preserve">Die Entwicklung legt nahe, dass einige Betriebe ihre Personalpolitik überdenken, um höhere Abgaben zu vermeiden. Darauf deutet auch eine Befragung des Instituts für Arbeitsmarkt- und Berufsforschung hin: Betriebe halten vor allem finanzielle Unterstützung für hilfreich, 61 Prozent nannten Förderung für kleine Unternehmen, 45 Prozent die Übernahme der Erstausstattung, 41 Prozent Eingliederungszuschüsse als geeignete Maßnahmen. Institutionelle </w:t>
      </w:r>
      <w:r>
        <w:lastRenderedPageBreak/>
        <w:t>Eingriffe wie die Lockerung des Kündigungsschutzes hielten dagegen nur rund 30 Prozent für sinnvoll.</w:t>
      </w:r>
    </w:p>
    <w:p w14:paraId="443A6685" w14:textId="77777777" w:rsidR="00C33BD6" w:rsidRDefault="000C11B8">
      <w:r>
        <w:t xml:space="preserve">Das widerspricht der Position mancher Arbeitgeberverbände, die die vierte Staffel gerne wieder kassieren würden. Sie argumentieren, die Abgabe sei wirkungslos und bürokratisch. Die Zahlen zeigen das Gegenteil. </w:t>
      </w:r>
      <w:r>
        <w:rPr>
          <w:b/>
        </w:rPr>
        <w:t xml:space="preserve"> Robert Manu</w:t>
      </w:r>
    </w:p>
    <w:p w14:paraId="0F7BE0E0" w14:textId="77777777" w:rsidR="00C33BD6" w:rsidRDefault="000C11B8">
      <w:pPr>
        <w:pStyle w:val="berschrift1"/>
      </w:pPr>
      <w:bookmarkStart w:id="28" w:name="_Toc239062692"/>
      <w:r>
        <w:t>Aktuelle Filme auf VdK-TV</w:t>
      </w:r>
      <w:bookmarkEnd w:id="28"/>
    </w:p>
    <w:p w14:paraId="1E6E9BB6" w14:textId="77777777" w:rsidR="00C33BD6" w:rsidRDefault="000C11B8">
      <w:r>
        <w:rPr>
          <w:b/>
        </w:rPr>
        <w:t>„Rat &amp; Tat“</w:t>
      </w:r>
    </w:p>
    <w:p w14:paraId="145860A6" w14:textId="77777777" w:rsidR="00C33BD6" w:rsidRDefault="000C11B8">
      <w:r>
        <w:t>Seit dem 1. Januar 2008 haben Menschen mit Behinderung und Pflegebedürftige den Anspruch auf ein sogenanntes Persönliches Budget. Ziel ist es, Betroffenen ein möglichst hohes Maß an Eigenverantwortung und Selbstständigkeit zu ermöglichen. Mit dem Budget sollen sie bestimmte Hilfen finanzieren können, die ihnen die Teilhabe am sozialen Leben ermöglicht. Sie entscheiden selbst, wie diese Unterstützung aussehen soll, etwa durch eine Arbeitsassistenz, die sie bei der Ausübung einer Berufstätigkeit unterstützt. Die Höhe des Budgets, das in Anspruch genommen werden kann, richtet sich nach dem Bedarf. Es ist also ein äußerst sinnvolles Instrument, um die Inklusion voranzubringen. Schade nur, dass es immer noch eher selten beantragt wird. Vielleicht trägt VdK-Rechtsexperte Lukas Dworaczek mit diesem Video dazu bei, dass das Persönliche Budget häufiger abgerufen wird.</w:t>
      </w:r>
    </w:p>
    <w:p w14:paraId="1D807761" w14:textId="77777777" w:rsidR="00C33BD6" w:rsidRDefault="000C11B8">
      <w:r>
        <w:rPr>
          <w:b/>
        </w:rPr>
        <w:t>„Klipp &amp; Klar“</w:t>
      </w:r>
    </w:p>
    <w:p w14:paraId="64708B1E" w14:textId="77777777" w:rsidR="00C33BD6" w:rsidRDefault="000C11B8">
      <w:r>
        <w:t>Der Herbst der Reformen hat sich über Winter, Frühjahr und Sommer hinweggezogen. Und noch immer streiten Politik, Wirtschaft, Gewerkschaften und Sozialverbände über die konkrete Ausformung. Auf jeden Fall steht viel auf dem Spiel, denn was sich Reform nennt, bedeutet in vielen Fällen, dass es herbe Einschnitte und Kürzungen geben wird. VdK-TV hat in einer Serie von mehreren Kurzvideos Verena Bentele um Stellungnahme gebeten. Die VdK-Präsidentin erklärt, was sich dringend ändern muss, und warum ein starker Sozialstaat die Wirtschaft nicht schwächt, sondern im Gegenteil stärken kann.</w:t>
      </w:r>
    </w:p>
    <w:p w14:paraId="4C95F7A8" w14:textId="77777777" w:rsidR="00C33BD6" w:rsidRDefault="000C11B8">
      <w:r>
        <w:rPr>
          <w:b/>
        </w:rPr>
        <w:t>„SBV – Inklusives Wissen“</w:t>
      </w:r>
    </w:p>
    <w:p w14:paraId="304AC83E" w14:textId="77777777" w:rsidR="00C33BD6" w:rsidRDefault="000C11B8">
      <w:r>
        <w:t>Nach langer Abwesenheit in den Arbeitsalltag zurückzufinden, ist nicht immer leicht. Deshalb gibt es das betriebliche Eingliederungsmanagement (BEM). Dabei handelt es sich um ein Verfahren, das durchgeführt wird, wenn eine Mitarbeiterin oder ein Mitarbeiter innerhalb der vergangenen zwölf Monate mehr als insgesamt sechs Wochen gefehlt hat. Ziel der Wiedereingliederung ist es, die Arbeitsfähigkeit der Betroffenen langfristig zu sichern, etwa durch eine Umgestaltung des Arbeitsplatzes oder veränderte Betriebsabläufe. Wie die Schwerbehindertenvertretung Arbeitnehmerinnen und Arbeitnehmern dabei zur Seite stehen kann, erläutert VdK-Rechtsexpertin Kim Blum in diesem Video.</w:t>
      </w:r>
    </w:p>
    <w:p w14:paraId="3FF0AEB1" w14:textId="77777777" w:rsidR="00C33BD6" w:rsidRDefault="000C11B8">
      <w:r>
        <w:t>VdK-TV-Magazin in Sport1</w:t>
      </w:r>
    </w:p>
    <w:p w14:paraId="0F6A90AC" w14:textId="77777777" w:rsidR="00C33BD6" w:rsidRDefault="000C11B8">
      <w:pPr>
        <w:pStyle w:val="berschrift1"/>
      </w:pPr>
      <w:bookmarkStart w:id="29" w:name="_Toc239062693"/>
      <w:r>
        <w:lastRenderedPageBreak/>
        <w:t>„miteinander“ im September</w:t>
      </w:r>
      <w:bookmarkEnd w:id="29"/>
    </w:p>
    <w:p w14:paraId="063CDE32" w14:textId="77777777" w:rsidR="00C33BD6" w:rsidRDefault="000C11B8">
      <w:r>
        <w:t>In der September-Sendung geht es um psychische Belastung im Berufsalltag. Stress, Zeitdruck, verschiedene Anforderungen gleichzeitig, Konflikte mit Kolleginnen und Kollegen oder zu viel Lärm und Unruhe rings um den Arbeitsplatz – all diese Faktoren können im Berufsalltag psychisch belasten.</w:t>
      </w:r>
    </w:p>
    <w:p w14:paraId="6824D11E" w14:textId="77777777" w:rsidR="00C33BD6" w:rsidRDefault="000C11B8">
      <w:r>
        <w:t>Für Menschen mit Schwerbehinderung sind die Auswirkungen häufig noch gravierender. Den Schwerbehindertenvertretungen in den Dienststellen und Betrieben kommt deshalb eine wichtige Aufgabe zu: Sie zeigen Möglichkeiten auf, wie sich Betroffene vor einer Überlastung und damit vor dem Risiko, längerfristig psychisch zu erkranken, schützen können. VdK-Rechtsexpertin Kim Blum gibt einen Überblick über die arbeitsrechtlichen Instrumente.</w:t>
      </w:r>
    </w:p>
    <w:p w14:paraId="67776B80" w14:textId="77777777" w:rsidR="00C33BD6" w:rsidRDefault="000C11B8">
      <w:r>
        <w:t>Außerdem informiert Lukas Dworaczek, Sozialrechtsberater beim VdK Saarland, über Merkzeichen. Wird einer Person ein solches zuerkannt, kann sie bestimmte Nachteilsausgleiche und Vergünstigungen in Anspruch nehmen. Er erklärt, was man tun kann, wenn das Amt eine Vergabe ablehnt. Wichtig ist, dem Antrag aussagekräftige ärztliche Atteste beizufügen, da die Behörden in der Regel nach Aktenlage entscheiden.</w:t>
      </w:r>
    </w:p>
    <w:p w14:paraId="6B63F426" w14:textId="77777777" w:rsidR="00C33BD6" w:rsidRDefault="000C11B8">
      <w:r>
        <w:rPr>
          <w:b/>
        </w:rPr>
        <w:t xml:space="preserve">„miteinander“ </w:t>
      </w:r>
      <w:r>
        <w:t>ist eine der beständigsten Sendereihen im deutschen Fernsehen. Seit 28 Jahren informiert das VdK-TV-Magazin Monat für Monat über sozialpolitische Themen, rechtliche Fragen, zeigt Neues aus den Bereichen Gesundheit und Rente, ist generationsübergreifend und wendet sich an Menschen mit und ohne Behinderung.</w:t>
      </w:r>
    </w:p>
    <w:p w14:paraId="749A5029" w14:textId="77777777" w:rsidR="00C33BD6" w:rsidRDefault="000C11B8">
      <w:r>
        <w:rPr>
          <w:b/>
        </w:rPr>
        <w:t>Freuen Sie sich auf interessante Beiträge!</w:t>
      </w:r>
    </w:p>
    <w:p w14:paraId="5F02268F" w14:textId="77777777" w:rsidR="00C33BD6" w:rsidRDefault="000C11B8">
      <w:r>
        <w:rPr>
          <w:b/>
        </w:rPr>
        <w:t>September-Folge auf Sport1</w:t>
      </w:r>
    </w:p>
    <w:p w14:paraId="708E2AEA" w14:textId="77777777" w:rsidR="00C33BD6" w:rsidRDefault="000C11B8">
      <w:r>
        <w:rPr>
          <w:b/>
        </w:rPr>
        <w:t>am 19.  September</w:t>
      </w:r>
      <w:r>
        <w:t xml:space="preserve"> um 12  Uhr.</w:t>
      </w:r>
    </w:p>
    <w:p w14:paraId="19115396" w14:textId="77777777" w:rsidR="00C33BD6" w:rsidRDefault="000C11B8">
      <w:r>
        <w:t>Wiederholungen am 22.  September um 7  Uhr sowie am 24.  September um 1  Uhr.</w:t>
      </w:r>
    </w:p>
    <w:p w14:paraId="48C06FA4" w14:textId="3C601E15" w:rsidR="00C33BD6" w:rsidRDefault="000C11B8">
      <w:r>
        <w:t>Nach TV-Ausstrahlung jederzeit abrufbar auf vdk.de</w:t>
      </w:r>
      <w:r w:rsidR="00E74904">
        <w:t xml:space="preserve"> </w:t>
      </w:r>
    </w:p>
    <w:p w14:paraId="1987D1BA" w14:textId="77777777" w:rsidR="00C33BD6" w:rsidRDefault="000C11B8">
      <w:pPr>
        <w:pStyle w:val="berschrift1"/>
      </w:pPr>
      <w:bookmarkStart w:id="30" w:name="_Toc239062694"/>
      <w:r>
        <w:t>Exotischer Blütenzauber</w:t>
      </w:r>
      <w:bookmarkEnd w:id="30"/>
    </w:p>
    <w:p w14:paraId="0A859CAC" w14:textId="77777777" w:rsidR="00C33BD6" w:rsidRDefault="000C11B8">
      <w:pPr>
        <w:pStyle w:val="Standard-Fett"/>
      </w:pPr>
      <w:r>
        <w:t>Orchideen verschönern Fensterbänke, Tische und Regale – Arten wie die Phalaenopsis gelten als besonders robust</w:t>
      </w:r>
    </w:p>
    <w:p w14:paraId="42D82CA1" w14:textId="77777777" w:rsidR="00C33BD6" w:rsidRDefault="000C11B8">
      <w:pPr>
        <w:pStyle w:val="Vorspann"/>
      </w:pPr>
      <w:r>
        <w:t xml:space="preserve">Mit ihrer üppigen Blütenpracht gehören Orchideen zu den beliebtesten Zimmerpflanzen. In vielfältigen Farben und Formen verschönern sie jeden Raum und sorgen für einen Hauch Exotik. </w:t>
      </w:r>
    </w:p>
    <w:p w14:paraId="7A34F487" w14:textId="77777777" w:rsidR="00C33BD6" w:rsidRDefault="000C11B8">
      <w:r>
        <w:lastRenderedPageBreak/>
        <w:t>Etwa 25 000 Orchideenarten gibt es weltweit. Die Pflanzen stammen aus tropischen Regionen wie Südostasien und Australien. Oft wachsen sie als sogenannte Epiphyten: Sie siedeln sich auf anderen Pflanzen an und nutzen deren Rinde und Äste als Lebensraum. Da Orchideen aus tropischen Wäldern stammen, ist ein gut gewählter Standort wichtig für das Wohlbefinden der Pflanze. Lichtverhältnisse, Temperatur und Luftfeuchtigkeit müssen stimmen.</w:t>
      </w:r>
    </w:p>
    <w:p w14:paraId="5C95C94A" w14:textId="77777777" w:rsidR="00C33BD6" w:rsidRDefault="000C11B8">
      <w:pPr>
        <w:pStyle w:val="Zwischentitel"/>
      </w:pPr>
      <w:r>
        <w:t>Keine pralle Sonne</w:t>
      </w:r>
    </w:p>
    <w:p w14:paraId="79580B99" w14:textId="77777777" w:rsidR="00C33BD6" w:rsidRDefault="000C11B8">
      <w:r>
        <w:t>Orchideen gedeihen im Zimmer am besten an hellen, nicht zu sonnigen Plätzen. Sie bevorzugen indirektes Licht. Gut sind Ost- oder Westfenster, die zwar genügend Licht bieten, die Pflanzen aber nicht der prallen Sonne aussetzen. Zudem müssen Orchideen im Winter vor Frost und niedrigen Temperaturen geschützt werden.</w:t>
      </w:r>
    </w:p>
    <w:p w14:paraId="41C1E61E" w14:textId="77777777" w:rsidR="00C33BD6" w:rsidRDefault="000C11B8">
      <w:r>
        <w:t xml:space="preserve">In ihrer natürlichen Umgebung sind die Pflanzen an eine hohe Luftfeuchtigkeit gewöhnt. Um dies bei gezüchteten Exemplaren nachzuahmen, kann eine Schale mit Wasser in der Nähe der Pflanze aufgestellt werden. Die Blätter regelmäßig mit Wasser zu besprühen, tut Orchideen ebenfalls gut. Ein Standort in der Nähe von Bädern oder Küchen, wo die Luftfeuchtigkeit generell höher ist, kann ebenfalls von Vorteil sein. Trockene Heizungsluft sollte dagegen vermieden werden, da es die Pflanze stresst. Niemals sollten Orchideen in der Nähe von Heizkörpern stehen. Sie mögen auch keine Zugluft. </w:t>
      </w:r>
    </w:p>
    <w:p w14:paraId="46A5D85A" w14:textId="77777777" w:rsidR="00C33BD6" w:rsidRDefault="000C11B8">
      <w:r>
        <w:t>Die Pflanzen sind ebenfalls empfindlich gegenüber zu viel oder zu wenig Wasser. Staunässe kann Orchideen sogar absterben lassen, wenn Wurzeln zu faulen beginnen.</w:t>
      </w:r>
    </w:p>
    <w:p w14:paraId="6369CB29" w14:textId="77777777" w:rsidR="00C33BD6" w:rsidRDefault="000C11B8">
      <w:r>
        <w:t xml:space="preserve">Normalerweise reicht es aus, eine Orchidee einmal pro Woche zu gießen. Bei Temperaturen unter 20 Grad Celsius genügt sogar ein 14-tägiger Rhythmus. Das Wasser sollte am besten zimmerwarm und abgestanden sein. Besonders empfehlenswert ist ein Tauchbad. Dabei wird der Topf in lauwarmes Wasser getaucht. Er kann bis zu einer Viertelstunde darin stehen bleiben und muss danach gut abtropfen, um Staunässe und damit Wurzelfäule zu vermeiden. </w:t>
      </w:r>
    </w:p>
    <w:p w14:paraId="6CA3D542" w14:textId="77777777" w:rsidR="00C33BD6" w:rsidRDefault="000C11B8">
      <w:r>
        <w:t>Für Orchideen sollte ausschließlich Spezialerde verwendet werden. Orchideenerde ist grobkörnig, luftig und wasserdurchlässig. Während der Wachstumszeit, wenn sich neue Triebe zeigen, können die Pflanzen alle drei bis vier Wochen mit einem speziellen Orchideendünger versorgt werden. Dieser ist genau auf den Nährstoffbedarf der Regenwaldpflanzen abgestimmt und hilft, dass die Pflanze wieder neu zur Blüte kommt. Vertrocknete Blütenstände und Pflanzenteile können vorsichtig entfernt werden. Das fördert das gesunde Wachstum der Pflanze. Dabei sollten saubere und scharfe Schneidwerkzeuge wie eine spezielle Orchideenschere oder ein Messer verwendet werden, um Quetschungen und Verletzungen der Pflanze zu vermeiden. Blätter dürfen nicht abgeschnitten werden. Sie fallen von selbst ab oder lassen sich leicht abstreifen.</w:t>
      </w:r>
    </w:p>
    <w:p w14:paraId="64393E5C" w14:textId="77777777" w:rsidR="00C33BD6" w:rsidRDefault="000C11B8">
      <w:pPr>
        <w:pStyle w:val="Zwischentitel"/>
      </w:pPr>
      <w:r>
        <w:t>Wichtige Luftwurzeln</w:t>
      </w:r>
    </w:p>
    <w:p w14:paraId="031A3328" w14:textId="77777777" w:rsidR="00C33BD6" w:rsidRDefault="000C11B8">
      <w:r>
        <w:t xml:space="preserve">Luftwurzeln sind typisch für viele Orchideenarten und dienen der Nährstoff- und Wasseraufnahme. Kappt man sie, wird die Pflanze geschwächt. Deshalb sollte man nur abgestorbene oder verfaulte Wurzeln entfernen. </w:t>
      </w:r>
    </w:p>
    <w:p w14:paraId="1F292FF1" w14:textId="77777777" w:rsidR="00C33BD6" w:rsidRDefault="000C11B8">
      <w:r>
        <w:t xml:space="preserve">Wer unter den zahlreichen Orchideenarten pflegeleichte Exemplare sucht, ist mit der Phalaenopsis, auch Nachtfalter- oder Schmetterlingsorchidee genannt, gut beraten. Sie hat eine sehr lange Blütezeit, gilt als robust und hält auch eine geringere Luftfeuchtigkeit aus. Es gibt sie </w:t>
      </w:r>
      <w:r>
        <w:lastRenderedPageBreak/>
        <w:t xml:space="preserve">in fast allen Farben – oft in Weiß, Rosa, Pink, Gelb, Violett – und mittlerweile auch in mehreren Größen, sogar im Miniformat. Allein von der Gattung Phalaenopsis gibt es fast hundert Arten. Sie können gefleckt, gepunktet oder zweifarbig sein. Durch eine jahrelange Züchtung sind Schmetterlingsorchideen sehr gut für die Zimmerkultur geeignet. </w:t>
      </w:r>
      <w:r>
        <w:rPr>
          <w:b/>
        </w:rPr>
        <w:t>Petra J. Huschke</w:t>
      </w:r>
    </w:p>
    <w:p w14:paraId="0A21030E" w14:textId="77777777" w:rsidR="00C33BD6" w:rsidRDefault="000C11B8">
      <w:pPr>
        <w:pStyle w:val="berschrift1"/>
      </w:pPr>
      <w:bookmarkStart w:id="31" w:name="_Toc239062695"/>
      <w:r>
        <w:t>Roboter Pawlowitsch soll sich kümmern</w:t>
      </w:r>
      <w:bookmarkEnd w:id="31"/>
    </w:p>
    <w:p w14:paraId="2F7ED3AE" w14:textId="77777777" w:rsidR="00C33BD6" w:rsidRDefault="000C11B8">
      <w:pPr>
        <w:pStyle w:val="Standard-Fett"/>
      </w:pPr>
      <w:r>
        <w:t>Doris Dörrie beschäftigt sich in ihrem neuen berührenden Film mit Künstlicher Intelligenz in der Pflege</w:t>
      </w:r>
    </w:p>
    <w:p w14:paraId="2F8B7867" w14:textId="77777777" w:rsidR="00C33BD6" w:rsidRDefault="000C11B8">
      <w:pPr>
        <w:pStyle w:val="Vorspann"/>
      </w:pPr>
      <w:r>
        <w:t>In Doris Dörries neuem Kinofilm „Frau Winkler verlässt das Haus“ kümmert sich der Roboter Pawlowitsch um die pflegebedürftige Frau Winkler. Im Interview mit der VdK-ZEITUNG verrät die Filmemacherin, was sie von Künstlicher Intelligenz in der Pflege hält, wie sie in Japan Inspiration für den Film fand, und wie sie die Pflege ihrer Eltern gefordert hat.</w:t>
      </w:r>
    </w:p>
    <w:p w14:paraId="1496D81E" w14:textId="77777777" w:rsidR="00C33BD6" w:rsidRDefault="000C11B8">
      <w:pPr>
        <w:pStyle w:val="Interview-Frage"/>
      </w:pPr>
      <w:r>
        <w:t>Frau Dörrie, denken Sie, dass in unserer Gesellschaft die Pflege von Angehörigen einen angemessenen Stellenwert hat?</w:t>
      </w:r>
    </w:p>
    <w:p w14:paraId="79EDC26C" w14:textId="77777777" w:rsidR="00C33BD6" w:rsidRDefault="000C11B8">
      <w:r>
        <w:t>Nein, ganz und gar nicht. Es ist eine Katastrophe, wie wir mit den Themen Alter, Krankheit, Tod und Pflege umgehen. Wir wissen seit vielen Jahren, dass wir politisch und gesellschaftlich darauf reagieren müssen – und es geschieht fast nichts. Weiterhin lastet die Pflege fast ausschließlich auf den Frauen, und die Pflegekräfte werden zu wenig anerkannt, zu wenig gefördert und zu schlecht bezahlt. Es kommt mir fast vor, als würden wir Vogel Strauß spielen und uns mit dem Thema einfach nicht adäquat beschäftigen wollen. Dabei wird es für uns alle irgendwann Realität werden. Und wollen wir nicht alle kompetent, freundlich und möglichst zu Hause gepflegt werden und einen würdigen Tod sterben?</w:t>
      </w:r>
    </w:p>
    <w:p w14:paraId="3148AD09" w14:textId="77777777" w:rsidR="00C33BD6" w:rsidRDefault="000C11B8">
      <w:r>
        <w:t>Im Film kümmert sich ein Roboter um die pflegebedürftige Frau Winkler. Wie bewerten Sie den Einsatz von Künstlicher Intelligenz in der Pflege und teilen Sie die Skepsis, die von vielen Seiten geäußert wird?</w:t>
      </w:r>
    </w:p>
    <w:p w14:paraId="4C22F93A" w14:textId="77777777" w:rsidR="00C33BD6" w:rsidRDefault="000C11B8">
      <w:r>
        <w:t>Ich glaube nicht, dass ein Roboter wie in unserem Film jemals alle pflegerischen Aufgaben beherrschen können wird. Er kann aber sicherlich in manchen Bereichen entlasten. Als Social Bot kann er durchaus Einsamkeit lindern. Es bedarf aber einer klaren Regulierung, und ein Roboter darf niemals menschlichen Kontakt komplett ersetzen.</w:t>
      </w:r>
    </w:p>
    <w:p w14:paraId="74C0006E" w14:textId="77777777" w:rsidR="00C33BD6" w:rsidRDefault="000C11B8">
      <w:pPr>
        <w:pStyle w:val="Interview-Frage"/>
      </w:pPr>
      <w:r>
        <w:t xml:space="preserve">Das deutsche Pflegesystem steht angesichts des demographischen Wandels und des Fachkräftemangels vor großen Herausforderungen. Wo sehen Sie Stellschrauben, um es gerecht und menschenwürdig zu gestalten? </w:t>
      </w:r>
    </w:p>
    <w:p w14:paraId="04DD7E6A" w14:textId="77777777" w:rsidR="00C33BD6" w:rsidRDefault="000C11B8">
      <w:r>
        <w:lastRenderedPageBreak/>
        <w:t>Gesellschaftlich und politisch müssen wir uns alle entschiedener mit dem Thema beschäftigen. Wir müssen ambulante und stationäre Hospize und palliative Pflege fördern, den Pflegeberuf stärken und besser bezahlen, Modelle finden für Entlastung der Pflege von Angehörigen. Wir dürfen den Kontakt mit diesen Themen nicht scheuen, sonst bekommen wir nur noch mehr Angst vor Alter, Krankheit und Tod. Im Gegenteil: Je tiefer wir uns damit beschäftigen, umso weniger werden wir uns fürchten.</w:t>
      </w:r>
    </w:p>
    <w:p w14:paraId="40476520" w14:textId="77777777" w:rsidR="00C33BD6" w:rsidRDefault="000C11B8">
      <w:pPr>
        <w:pStyle w:val="Interview-Frage"/>
      </w:pPr>
      <w:r>
        <w:t>Warum haben Sie sich das Thema Pflege von Angehörigen für Ihren neuen Film ausgesucht?</w:t>
      </w:r>
    </w:p>
    <w:p w14:paraId="0DFF5472" w14:textId="77777777" w:rsidR="00C33BD6" w:rsidRDefault="000C11B8">
      <w:r>
        <w:t xml:space="preserve">Weil mich das Thema schon lange beschäftigt, spätestens, seit meine Eltern alt und pflegebedürftig wurden. Da habe ich gemerkt, wie schwer es ist zu pflegen. Ich habe mich oft überfordert gefühlt, obwohl ich immer Unterstützung hatte. Ich war oft ungeduldig und habe mich sehr zerrissen gefühlt zwischen meinem Beruf und den Bedürfnissen der Eltern. </w:t>
      </w:r>
    </w:p>
    <w:p w14:paraId="17574866" w14:textId="77777777" w:rsidR="00C33BD6" w:rsidRDefault="000C11B8">
      <w:pPr>
        <w:pStyle w:val="Interview-Frage"/>
      </w:pPr>
      <w:r>
        <w:t>Wie haben Sie sich auf den Film vorbereitet?</w:t>
      </w:r>
    </w:p>
    <w:p w14:paraId="0A812043" w14:textId="77777777" w:rsidR="00C33BD6" w:rsidRDefault="000C11B8">
      <w:r>
        <w:t>Ich habe mich intensiv mit Künstlicher Intelligenz beschäftigt, habe viel Zeit in Japan verbracht und schon vor Jahren die Überalterung der Gesellschaft beobachtet. Ich habe von alten Menschen gelesen, die allein in Hochhäusern lebten und mittels optischer Zeichen die Vorhänge auf- und zuzogen, um damit den Nachbarn zu zeigen, dass sie noch am Leben sind. Ich habe damals schon die Roboter-​Robbe recherchiert, die bereits in Altenheimen eingesetzt wurde. Und ich wurde auf die alte japanische Legende Narayama aufmerksam. Darin ist überliefert, dass früher das älteste Kind seine Eltern, wenn sie das 70. Lebensjahr erreicht hatten, auf einen Berg trug und sie dort aussetzen musste, damit sie dort starben. Die Gesellschaft sicherte so ihr Überleben.</w:t>
      </w:r>
    </w:p>
    <w:p w14:paraId="16BF6E74" w14:textId="77777777" w:rsidR="00C33BD6" w:rsidRDefault="000C11B8">
      <w:pPr>
        <w:pStyle w:val="Interview-Frage"/>
      </w:pPr>
      <w:r>
        <w:t>Was war für Sie bei der Arbeit an dem Film künstlerisch die größte Herausforderung?</w:t>
      </w:r>
    </w:p>
    <w:p w14:paraId="48FD0FE3" w14:textId="77777777" w:rsidR="00C33BD6" w:rsidRDefault="000C11B8">
      <w:r>
        <w:t xml:space="preserve">Die sicherlich größte Herausforderung war, den Roboter im Film so zu erfinden und einzusetzen, dass er glaubwürdig, sympathisch, aber auch ambivalent wirkt. Erst in jüngster Zeit gibt es reale Roboter, die unserem tatsächlich gleichen. </w:t>
      </w:r>
    </w:p>
    <w:p w14:paraId="2F5756B3" w14:textId="77777777" w:rsidR="00C33BD6" w:rsidRDefault="000C11B8">
      <w:pPr>
        <w:pStyle w:val="Interview-Frage"/>
      </w:pPr>
      <w:r>
        <w:t xml:space="preserve">Die 82-jährige Film- und Theaterschauspielerin Angela Winkler spielt die Hauptrolle und gibt der Protagonistin auch ihren Namen. Wie kam es dazu? </w:t>
      </w:r>
    </w:p>
    <w:p w14:paraId="44A5E5B2" w14:textId="77777777" w:rsidR="00C33BD6" w:rsidRDefault="000C11B8">
      <w:r>
        <w:t>Ich habe die Rolle für sie geschrieben, und es war mein größtes Glück, dass sie die Rolle angenommen hat. Ich denke, kaum jemand anders hätte sie so ergreifend, so lustig und so traurig spielen können wie sie.</w:t>
      </w:r>
    </w:p>
    <w:p w14:paraId="2B69C13F" w14:textId="77777777" w:rsidR="00C33BD6" w:rsidRDefault="000C11B8">
      <w:pPr>
        <w:pStyle w:val="Interview-Frage"/>
      </w:pPr>
      <w:r>
        <w:t xml:space="preserve"> Interview: Jörg Ciszewski</w:t>
      </w:r>
    </w:p>
    <w:p w14:paraId="132750BA" w14:textId="77777777" w:rsidR="00C33BD6" w:rsidRDefault="000C11B8">
      <w:pPr>
        <w:pStyle w:val="berschrift1"/>
      </w:pPr>
      <w:bookmarkStart w:id="32" w:name="_Toc239062696"/>
      <w:r>
        <w:t>Einsam mit dem Pflegeroboter</w:t>
      </w:r>
      <w:bookmarkEnd w:id="32"/>
    </w:p>
    <w:p w14:paraId="6650A3F1" w14:textId="77777777" w:rsidR="00C33BD6" w:rsidRDefault="000C11B8">
      <w:pPr>
        <w:pStyle w:val="Vorspann"/>
      </w:pPr>
      <w:r>
        <w:t>Die Regisseurin Doris Dörrie bringt mit ihrem neuen Film „Frau Winkler verlässt das Haus“ das Thema Pflege und KI auf die große Leinwand. Der Spielfilm hat seinen Kinostart am 1. Oktober.</w:t>
      </w:r>
    </w:p>
    <w:p w14:paraId="3EAE537B" w14:textId="77777777" w:rsidR="00C33BD6" w:rsidRDefault="000C11B8">
      <w:r>
        <w:lastRenderedPageBreak/>
        <w:t xml:space="preserve">Es ist das Jahr 2030. Roboter kommen bereits in Restaurants als Servicekräfte und bei der Paketzustellung zum Einsatz. Als die ehemalige Schauspielerin Frau Winkler – gespielt von der renommierten Theater- und Filmschauspielerin Angela Winkler – nicht mehr von ihrer Tochter betreut werden kann, soll sich auch ein Roboter um ihre Pflege kümmern. Frau Winkler fühlt sich verlassen und wehrt sich anfangs vehement gegen die Maschine. Doch dann entwickelt sich eine unerwartete Freundschaft zwischen der 80-Jährigen und dem äußerst „belesenen“ Roboter, den sie Pawlowitsch nennt und der zu ihrer Freude wunderbar aus den Werken von Anton Tschechow rezitieren kann. </w:t>
      </w:r>
    </w:p>
    <w:p w14:paraId="40C563FC" w14:textId="77777777" w:rsidR="00C33BD6" w:rsidRDefault="000C11B8">
      <w:r>
        <w:t>Aber Pawlowitsch ist nicht nur ein interessanter neuer Gefährte für Frau Winkler, er übermittelt auch ihre sich stetig verschlechternden Vitalwerte an ein auf Effizienz bedachtes Gesundheitssystem. Pawlowitsch verspricht zwar, ihr beizustehen, aber kann eine künstliche Intelligenz einem Menschen ein Versprechen geben, das auch zu halten ist?</w:t>
      </w:r>
    </w:p>
    <w:p w14:paraId="6F998D44" w14:textId="77777777" w:rsidR="00C33BD6" w:rsidRDefault="000C11B8">
      <w:r>
        <w:t>Der Film ist eine bittersüße und berührende Tragikomödie über Fürsorge, Verlust und Menschlichkeit in einer zunehmend technisierten Welt. Die Regisseurin und Drehbuchautorin Doris Dörrie, die mit Filmen wie „Männer“, „Kirschblüten – Hanami“ oder „Grüße aus Fukushima“ bei Publikum und Kritikern gleichermaßen beliebte Filme inszeniert hat, widmet sich in ihrem aktuellen Film auch einem sehr persönlichen Thema, da sie selbst ihre Mutter gepflegt hat (siehe Interview links).</w:t>
      </w:r>
    </w:p>
    <w:p w14:paraId="70CD57EC" w14:textId="77777777" w:rsidR="00C33BD6" w:rsidRDefault="000C11B8">
      <w:r>
        <w:t xml:space="preserve">Die 82-jährige Angela Winkler hatte Dörrie von Anfang an als Idealbesetzung im Auge. Winkler war unter anderem in Filmen von Volker Schlöndorff und Tom Tykwer zu sehen und erhielt für ihre Rolle in „Die verlorene Ehre der Katharina Blum“ 1976 das Filmband in Gold.  </w:t>
      </w:r>
      <w:r>
        <w:rPr>
          <w:b/>
        </w:rPr>
        <w:t>cis</w:t>
      </w:r>
    </w:p>
    <w:p w14:paraId="10B2DA12" w14:textId="77777777" w:rsidR="00C33BD6" w:rsidRDefault="000C11B8">
      <w:pPr>
        <w:pStyle w:val="berschrift1"/>
      </w:pPr>
      <w:bookmarkStart w:id="33" w:name="_Toc239062697"/>
      <w:r>
        <w:t>Donald Duck – cholerisch und trotzdem liebenswert</w:t>
      </w:r>
      <w:bookmarkEnd w:id="33"/>
    </w:p>
    <w:p w14:paraId="38649638" w14:textId="77777777" w:rsidR="00C33BD6" w:rsidRDefault="000C11B8">
      <w:pPr>
        <w:pStyle w:val="Standard-Fett"/>
      </w:pPr>
      <w:r>
        <w:t>Die Bundesvereinigung Lebenshilfe hat mit Story House Egmont zwei Donald-Duck-Bücher in Leichter Sprache veröffentlicht</w:t>
      </w:r>
    </w:p>
    <w:p w14:paraId="05E3A63C" w14:textId="77777777" w:rsidR="00C33BD6" w:rsidRDefault="000C11B8">
      <w:pPr>
        <w:pStyle w:val="Vorspann"/>
      </w:pPr>
      <w:r>
        <w:t>Seit den frühen 1940er-Jahren begeistern die Comic-Geschichten rund um Donald Duck viele Leserinnen und Leser. Seit Kurzem liegen zwei Donald-Duck-Bücher in Leichter Sprache vor – herausgegeben von der Bundesvereinigung Lebenshilfe und Story House Egmont.</w:t>
      </w:r>
    </w:p>
    <w:p w14:paraId="096CEEA4" w14:textId="77777777" w:rsidR="00C33BD6" w:rsidRDefault="000C11B8">
      <w:r>
        <w:t>Tollpatschig, vom Pech verfolgt und mit legendären Wutausbrüchen – das ist Donald Duck. Mit seinen Neffen Tick, Trick und Track lebt er in Entenhausen. Trotz des reichen Onkels Dagobert plagen ihn Geldsorgen. Einfallsreich versucht er, den Alltag zu meistern und kämpft um die Anerkennung seiner Mitmenschen.</w:t>
      </w:r>
    </w:p>
    <w:p w14:paraId="330BCED0" w14:textId="77777777" w:rsidR="00C33BD6" w:rsidRDefault="000C11B8">
      <w:r>
        <w:lastRenderedPageBreak/>
        <w:t>Die Ente im blauen Matrosenanzug tauchte erstmals am 9. Juni 1934 in dem Zeichentrick-Kurzfilm „Die kluge kleine Henne“ von Walt Disney in einer Nebenrolle auf. Das Entenhausen, wie wir es heute kennen, wurde entscheidend durch den US-amerikanischen Comic-Autor und Zeichner Carl Barks geprägt. Heute entwickeln verschiedene internationale Autoren und Zeichner die Geschichten im Auftrag der Walt Disney Company weiter.</w:t>
      </w:r>
    </w:p>
    <w:p w14:paraId="6709D51B" w14:textId="77777777" w:rsidR="00C33BD6" w:rsidRDefault="000C11B8">
      <w:r>
        <w:t xml:space="preserve">Damit sich auch Leserinnen und Leser mit Unterstützungsbedarf an der tollpatschigen Ente erfreuen können, haben Lebenshilfe und Story House Egmont zwei Bücher mit Donald-Duck-Geschichten in Leichter Sprache veröffentlicht. Schätzungen der Lebenshilfe zufolge sind rund zehn Millionen Menschen in Deutschland auf Leichte Sprache angewiesen, die weitgehend auf lange Sätze, Fremdwörter und kleine Schrift verzichtet. </w:t>
      </w:r>
    </w:p>
    <w:p w14:paraId="7F415AF3" w14:textId="77777777" w:rsidR="00C33BD6" w:rsidRDefault="000C11B8">
      <w:r>
        <w:t xml:space="preserve">Beide Bände sind jeweils für 9,99 Euro im Buchhandel erhältlich. Sie können auch online bestellt werden, beispielsweise direkt bei der Lebenshilfe oder im Egmont-Shop: Band 1 „Aus dem Leben einer Ente“ erschien bereits im Jahr 2025 und enthält fünf Geschichten (ISBN 978-3-7704-1029-3). Band 2 „Hier kommt Donald!“ liegt seit Mai mit vier Geschichten vor (ISBN 978-3-7704-1149-8). </w:t>
      </w:r>
      <w:r>
        <w:rPr>
          <w:b/>
        </w:rPr>
        <w:t>Kristin Enge</w:t>
      </w:r>
    </w:p>
    <w:p w14:paraId="094B1CEF" w14:textId="77777777" w:rsidR="00C33BD6" w:rsidRDefault="000C11B8">
      <w:pPr>
        <w:pStyle w:val="berschrift1"/>
      </w:pPr>
      <w:bookmarkStart w:id="34" w:name="_Toc239062698"/>
      <w:r>
        <w:t>Radverkehr auf dem Prüfstand</w:t>
      </w:r>
      <w:bookmarkEnd w:id="34"/>
    </w:p>
    <w:p w14:paraId="21A1ABA8" w14:textId="77777777" w:rsidR="00C33BD6" w:rsidRDefault="000C11B8">
      <w:pPr>
        <w:pStyle w:val="Standard-Fett"/>
      </w:pPr>
      <w:r>
        <w:t>ADFC-Fahrradklima-Test startet im September</w:t>
      </w:r>
    </w:p>
    <w:p w14:paraId="524313A9" w14:textId="77777777" w:rsidR="00C33BD6" w:rsidRDefault="000C11B8">
      <w:pPr>
        <w:pStyle w:val="Vorspann"/>
      </w:pPr>
      <w:r>
        <w:t xml:space="preserve">Vom 1. September bis 30. November können sich Jugendliche, Erwachsene und Kommunen in ganz Deutschland am ADFC-Fahrradklima-Test beteiligen. Im Mittelpunkt steht die Frage, wie fahrradfreundlich deutsche Städte und Gemeinden sind. </w:t>
      </w:r>
    </w:p>
    <w:p w14:paraId="72562D1B" w14:textId="77777777" w:rsidR="00C33BD6" w:rsidRDefault="000C11B8">
      <w:r>
        <w:t>Die Teilnehmenden können bei der Befragung des Allgemeinen Deutschen Fahrrad-Clubs (ADFC) bereits zum zwölften Mal bewerten, wie es um Sicherheit, Infrastruktur, Komfort und den Stellenwert des Radverkehrs in ihrer Kommune steht. Konkret wird beispielsweise untersucht, wie gut das Stadtzentrum mit dem Rad zu erreichen ist, ob es Fahrradstraßen und sichere Abstellanlagen gibt. Auch die Kontrolle von Falschparkern und Baustellenführungen spielen eine Rolle.</w:t>
      </w:r>
    </w:p>
    <w:p w14:paraId="6F0D6888" w14:textId="77777777" w:rsidR="00C33BD6" w:rsidRDefault="000C11B8">
      <w:r>
        <w:t>Der ADFC untersucht langfristige Trends und analysiert, in welchen Orten sich viel getan hat. Die erfolgreichsten Kommunen werden ausgezeichnet. Die Ergebnisse zeigen aber auch, wo dringend nachgebessert werden muss. „Mobilität bedeutet Teilhabe und Lebensqualität“, erklärt Irene Hummel, Leiterin des ADFC-Fahrradklima-Tests. „Die Erfahrungen, die die Teilnehmenden einbringen, bieten Politik und Kommunen eine wertvolle Orientierung, wo der Radverkehr vor Ort mit gezielten Maßnahmen verbessert werden kann.“</w:t>
      </w:r>
    </w:p>
    <w:p w14:paraId="70700FD5" w14:textId="77777777" w:rsidR="00C33BD6" w:rsidRDefault="000C11B8">
      <w:r>
        <w:t xml:space="preserve">Rund 200 000 Radfahrerinnen und -fahrer sowie 1000 Städte und Gemeinden haben sich am letzten Test beteiligt. Er ist eine der größten Erhebungen weltweit, die gezielt nach der Zufriedenheit der Menschen mit den Bedingungen fürs Radfahren vor Ort fragt. Gefördert wird der Test vom Bundesministerium für Verkehr aus Mitteln des Nationalen Radverkehrplans. </w:t>
      </w:r>
      <w:r>
        <w:rPr>
          <w:b/>
        </w:rPr>
        <w:t>ken</w:t>
      </w:r>
    </w:p>
    <w:p w14:paraId="161C43E9" w14:textId="77777777" w:rsidR="00C33BD6" w:rsidRDefault="000C11B8">
      <w:r>
        <w:lastRenderedPageBreak/>
        <w:t>Mitmachen</w:t>
      </w:r>
    </w:p>
    <w:p w14:paraId="5565F9EA" w14:textId="77777777" w:rsidR="00C33BD6" w:rsidRDefault="000C11B8">
      <w:r>
        <w:t xml:space="preserve">Vom 1. September bis 30. November 2026 können sich Interessierte online beteiligen oder sich einen gedruckten Fragebogen beim ADFC vor Ort abholen. </w:t>
      </w:r>
    </w:p>
    <w:p w14:paraId="44316FA8" w14:textId="13380FC2" w:rsidR="00C33BD6" w:rsidRDefault="00E74904">
      <w:hyperlink r:id="rId16">
        <w:r w:rsidR="000C11B8">
          <w:rPr>
            <w:color w:val="0015B7"/>
          </w:rPr>
          <w:t>fkt.adfc.de/</w:t>
        </w:r>
        <w:proofErr w:type="spellStart"/>
        <w:r w:rsidR="000C11B8">
          <w:rPr>
            <w:color w:val="0015B7"/>
          </w:rPr>
          <w:t>befragung</w:t>
        </w:r>
        <w:proofErr w:type="spellEnd"/>
      </w:hyperlink>
    </w:p>
    <w:p w14:paraId="37955E38" w14:textId="77777777" w:rsidR="00C33BD6" w:rsidRDefault="000C11B8">
      <w:pPr>
        <w:pStyle w:val="berschrift1"/>
      </w:pPr>
      <w:bookmarkStart w:id="35" w:name="_Toc239062699"/>
      <w:r>
        <w:t>Neue Heizung, weniger Kosten</w:t>
      </w:r>
      <w:bookmarkEnd w:id="35"/>
    </w:p>
    <w:p w14:paraId="784C4A2E" w14:textId="77777777" w:rsidR="00C33BD6" w:rsidRDefault="000C11B8">
      <w:pPr>
        <w:pStyle w:val="Standard-Fett"/>
      </w:pPr>
      <w:r>
        <w:t>Zuschüsse sichern – Bund hat Förderbedingungen zum 21. Juli angepasst</w:t>
      </w:r>
    </w:p>
    <w:p w14:paraId="21C6BDA0" w14:textId="77777777" w:rsidR="00C33BD6" w:rsidRDefault="000C11B8">
      <w:pPr>
        <w:pStyle w:val="Vorspann"/>
      </w:pPr>
      <w:r>
        <w:t>Die Kosten für einen Heizungstausch sind erheblich. Mit der Bundesförderung für effiziente Gebäude (BEG) unterstützt der Bund Eigentümerinnen und Eigentümer mit Zuschüssen. Die neuen Förderrichtlinien gelten seit dem 21. Juli.</w:t>
      </w:r>
    </w:p>
    <w:p w14:paraId="606560CA" w14:textId="77777777" w:rsidR="00C33BD6" w:rsidRDefault="000C11B8">
      <w:r>
        <w:t>Wer über einen Heizungstausch nachdenkt, sollte sich frühzeitig über Förderung informieren. Zuständig ist die Kreditanstalt für Wiederaufbau (KfW). Ein Förderantrag muss vor Beginn der Arbeiten gestellt werden. Wichtig zu wissen: Die KfW berücksichtigt nur die sogenannten förderfähigen Kosten.</w:t>
      </w:r>
    </w:p>
    <w:p w14:paraId="2C3F1208" w14:textId="77777777" w:rsidR="00C33BD6" w:rsidRDefault="000C11B8">
      <w:r>
        <w:t xml:space="preserve">Dazu zählen beispielsweise die Kosten für die Anlage, Montage und Inbetriebnahme, für die Anpassung von Heizungsrohren oder die Entsorgung der alten Heizung. Für energetische Maßnahmen wie zum Beispiel die Dämmung der Fassade oder neue Fenster gibt es alternative Förderprogramme im Rahmen der BEG. </w:t>
      </w:r>
    </w:p>
    <w:p w14:paraId="0AA37EEC" w14:textId="77777777" w:rsidR="00C33BD6" w:rsidRDefault="000C11B8">
      <w:pPr>
        <w:pStyle w:val="Zwischentitel"/>
      </w:pPr>
      <w:r>
        <w:t>30 Prozent plus Bonus</w:t>
      </w:r>
    </w:p>
    <w:p w14:paraId="3D48D82F" w14:textId="77777777" w:rsidR="00C33BD6" w:rsidRDefault="000C11B8">
      <w:r>
        <w:t>Die Grundförderung für den Heizungstausch beträgt 30 Prozent der förderfähigen Kosten. Zusätzlich kann die KfW einen Einkommensbonus gewähren. Dieser hängt vom zu versteuernden Haushaltsjahreseinkommen ab: Bei bis zu 30 000 Euro beträgt der Bonus 40 Prozent, bei bis zu 40 000 Euro 30 Prozent und bei bis zu 50 000 Euro 10 Prozent.</w:t>
      </w:r>
    </w:p>
    <w:p w14:paraId="2E9A629C" w14:textId="77777777" w:rsidR="00C33BD6" w:rsidRDefault="000C11B8">
      <w:r>
        <w:t xml:space="preserve">Haben Familien minderjährige Kinder, können sie bei einem zu versteuernden Haushaltsjahreseinkommen von bis zu 60 000 Euro vom Einkommensbonus profitieren. Bei der Berechnung wird das Einkommen um 10 000 Euro reduziert, sodass die Familien in eine niedrigere Einkommensgruppe fallen können.  </w:t>
      </w:r>
    </w:p>
    <w:p w14:paraId="73C5C4D9" w14:textId="77777777" w:rsidR="00C33BD6" w:rsidRDefault="000C11B8">
      <w:r>
        <w:t xml:space="preserve">Je nach Ausgangslage kann die KfW für den Heizungstausch inklusive Bonus insgesamt bis zu 80 Prozent der förderfähigen Kosten gewähren. Bei einem Förderhöchstbetrag von derzeit 28 000 Euro wären das 22 400 Euro. Allerdings wird der Förderhöchstbetrag in den nächsten Jahren drastisch abgesenkt: Ab dem 1. Februar 2027 werden die förderfähigen Kosten halbjährlich um jeweils 750 Euro reduziert. Das bedeutet: Wer im Februar 2027 einen Antrag stellt, kann maximal 27 250 Euro bei der KfW geltend machen, ab August 2030 sind es dann nur noch </w:t>
      </w:r>
      <w:r>
        <w:lastRenderedPageBreak/>
        <w:t xml:space="preserve">22 000 Euro. Haben Eigentümerinnen und Eigentümer bereits eine Förderzusage erhalten, bleibt diese gültig. Vollständige Anträge, die vor dem 21. Juli eingereicht wurden, werden nach den damals geltenden Bestimmungen geprüft. </w:t>
      </w:r>
      <w:r>
        <w:rPr>
          <w:b/>
        </w:rPr>
        <w:t>Kristin Enge</w:t>
      </w:r>
    </w:p>
    <w:p w14:paraId="051DB24B" w14:textId="77777777" w:rsidR="00C33BD6" w:rsidRDefault="000C11B8">
      <w:pPr>
        <w:pStyle w:val="berschrift1"/>
      </w:pPr>
      <w:bookmarkStart w:id="36" w:name="_Toc239062700"/>
      <w:r>
        <w:t>Öfter mal ein Kurzurlaub</w:t>
      </w:r>
      <w:bookmarkEnd w:id="36"/>
    </w:p>
    <w:p w14:paraId="5F4DABA7" w14:textId="77777777" w:rsidR="00C33BD6" w:rsidRDefault="000C11B8">
      <w:pPr>
        <w:pStyle w:val="Standard-Fett"/>
      </w:pPr>
      <w:r>
        <w:t>Mehrere kleine Auszeiten tun Körper und Psyche gut – Der Erholungseffekt ist aber ganz individuell</w:t>
      </w:r>
    </w:p>
    <w:p w14:paraId="41BF1FA7" w14:textId="77777777" w:rsidR="00C33BD6" w:rsidRDefault="000C11B8">
      <w:pPr>
        <w:pStyle w:val="Vorspann"/>
      </w:pPr>
      <w:r>
        <w:t>Raus aus dem Alltagstrott, Stress abbauen, neue Energie tanken:  Wer sich gut erholen möchte, muss nicht den gesamten Jahresurlaub auf einmal nehmen. Kürzere Auszeiten übers Jahr können sogar nachhaltiger sein.</w:t>
      </w:r>
    </w:p>
    <w:p w14:paraId="5C2E186B" w14:textId="77777777" w:rsidR="00C33BD6" w:rsidRDefault="000C11B8">
      <w:r>
        <w:t xml:space="preserve">Die Studie „Erholung im Urlaub“ der Universität Münster hat untersucht, was Arbeitnehmerinnen und Arbeitnehmern bei Auszeiten guttut oder sich eher negativ auswirkt. Prof. Dr. Carmen Binnewies leitete das Projekt zusammen mit anderen Wissenschaftlerinnen und Wissenschaftlern und resümiert: „Erholung ist immer individuell. Wichtig ist, dass jeder für sich selbst herausfindet, bei welchen Aktivitäten oder unter welchen Bedingungen er am besten abschaltet und entspannt. Es ist vor allem die Zufriedenheit mit dem Urlaub, die zeigt, wie erholsam er ist.“ </w:t>
      </w:r>
    </w:p>
    <w:p w14:paraId="6F6B9709" w14:textId="77777777" w:rsidR="00C33BD6" w:rsidRDefault="000C11B8">
      <w:pPr>
        <w:pStyle w:val="Zwischentitel"/>
      </w:pPr>
      <w:r>
        <w:t>Meer, Berge, Städtetrip</w:t>
      </w:r>
    </w:p>
    <w:p w14:paraId="0D8E3021" w14:textId="77777777" w:rsidR="00C33BD6" w:rsidRDefault="000C11B8">
      <w:r>
        <w:t xml:space="preserve">Interessant war vor allem: Es muss gar nicht ein dreiwöchiger Luxusurlaub in einem fernen Land sein, um abschalten zu können. „Die Urlaubsgestaltung ist ausschlaggebend“, weiß Binnewies. </w:t>
      </w:r>
    </w:p>
    <w:p w14:paraId="22D91F35" w14:textId="77777777" w:rsidR="00C33BD6" w:rsidRDefault="000C11B8">
      <w:r>
        <w:t xml:space="preserve">Manche zieht es im Urlaub magisch ans Meer oder an den See. Sie lieben das Wasser auf der Haut und den Sand zwischen den Zehen, hören gerne Wind und Wellenrauschen zu. Andere gehen lieber in die Berge oder machen einen Städtetrip. Oft prägen Kindheitserfahrungen, welche Orte als erholsam empfunden werden. Und auch die aktuelle Belastung im Beruf kann eine Rolle spielen, ob eher ein Faulenzerurlaub oder ein Aktivurlaub gewünscht wird. </w:t>
      </w:r>
    </w:p>
    <w:p w14:paraId="7E8EF716" w14:textId="77777777" w:rsidR="00C33BD6" w:rsidRDefault="000C11B8">
      <w:r>
        <w:t>„Wichtig ist, auf eigene Bedürfnisse zu hören. Die Urlaubsforschung zeigt außerdem, dass man sich zu Hause genauso erholen kann wie auf Reisen. Allerdings fällt es vielen Menschen leichter, auf Urlaubsreisen psychisch abzuschalten“, so Binnewies. Sie leitet den Bereich Arbeitspsychologie am Institut für Psychologie der Universität Münster. Ihre Forschungsschwerpunkte sind die Themen Arbeitsstress, Erholung und Work-Life-Balance.</w:t>
      </w:r>
    </w:p>
    <w:p w14:paraId="4DAA0818" w14:textId="77777777" w:rsidR="00C33BD6" w:rsidRDefault="000C11B8">
      <w:r>
        <w:t xml:space="preserve">Sehr sinnvoll sind ihrer Meinung nach mehrere kurze Urlaube im Jahr, wenn dies machbar ist. Allein schon, weil Körper und Psyche sich öfter erholen können, und der Urlaubseffekt ja bekanntlich im Alltag schnell wieder nachlässt. </w:t>
      </w:r>
    </w:p>
    <w:p w14:paraId="0F05595D" w14:textId="77777777" w:rsidR="00C33BD6" w:rsidRDefault="000C11B8">
      <w:r>
        <w:lastRenderedPageBreak/>
        <w:t xml:space="preserve">Solche mehrtägigen Auszeiten führen damit zu nachhaltigerer Entspannung. Nicht zuletzt versetzt schon die Planung eines Urlaubs Menschen in Vorfreude, was das Wohlbefinden bereits vor dem eigentlichen Urlaub steigert. „Kurze Auszeiten zeigen in Studien ähnliche Erholungseffekte wie längere Urlaube“, betont Binnewies. Unterm Strich spricht also vieles dafür, lieber dreimal eine Woche als einmal drei Wochen freizunehmen. </w:t>
      </w:r>
    </w:p>
    <w:p w14:paraId="5B41F3B0" w14:textId="77777777" w:rsidR="00C33BD6" w:rsidRDefault="000C11B8">
      <w:r>
        <w:t>Die Forschung hat ihr zufolge mehrere Merkmale identifiziert, die für Erholung wichtig sind: Abschalten von der Arbeit, Entspannung sowohl körperlich wie mental, Selbstbestimmtheit erleben oder Herausforderungen bei sportlichen Aktivitäten sowie intellektuell, etwa bei einem Museumsbesuch, meistern. Manchen ist es auch wichtig, im Urlaub etwas Sinnerfülltes zu tun, also zum Beispiel die freien Tage mit sozialem Engagement zu füllen. Andere freuen sich darauf, mit anderen Menschen Erlebnisse zu teilen.</w:t>
      </w:r>
    </w:p>
    <w:p w14:paraId="0C2E9BE7" w14:textId="77777777" w:rsidR="00C33BD6" w:rsidRDefault="000C11B8">
      <w:r>
        <w:t>„Es wird aber vermutlich kaum eine Aktivität geben, die alle Merkmale erfüllt. Und es muss auch nicht das Ziel sein, möglichst viele dieser Dinge zu erreichen. Alles, was eine dieser Erfahrungen mit sich bringt, trägt zur Erholung bei“, betont sie. „Deshalb kann Erholung auch so unterschiedlich zustande kommen.“</w:t>
      </w:r>
    </w:p>
    <w:p w14:paraId="731FB525" w14:textId="77777777" w:rsidR="00C33BD6" w:rsidRDefault="000C11B8">
      <w:pPr>
        <w:pStyle w:val="Zwischentitel"/>
      </w:pPr>
      <w:r>
        <w:t>Mit oder ohne Handy?</w:t>
      </w:r>
    </w:p>
    <w:p w14:paraId="2275508B" w14:textId="77777777" w:rsidR="00C33BD6" w:rsidRDefault="000C11B8">
      <w:r>
        <w:t>Und am besten legt man Handy und Laptop öfter beiseite. Denn die Studie der Uni Münster ergab ganz klar: Je mehr die Befragten Telefon, E-Mails oder Nachrichtendienste nutzten, desto weniger konnten sie abschalten.</w:t>
      </w:r>
    </w:p>
    <w:p w14:paraId="099FA0F8" w14:textId="77777777" w:rsidR="00C33BD6" w:rsidRDefault="000C11B8">
      <w:r>
        <w:t xml:space="preserve">Um den Erholungseffekt aus dem Urlaub möglichst lange aufrechtzuerhalten, rät Binnewies, nach dem Urlaub extra Zeit für  Liegengebliebenes einzuplanen. Eine hohe Belastung gleich zum Einstieg in den Arbeitsalltag macht das Urlaubsgefühl sonst schnell zunichte. </w:t>
      </w:r>
      <w:r>
        <w:rPr>
          <w:b/>
        </w:rPr>
        <w:t>Petra J. Huschke</w:t>
      </w:r>
    </w:p>
    <w:p w14:paraId="4BEEED9C" w14:textId="77777777" w:rsidR="00C33BD6" w:rsidRDefault="000C11B8">
      <w:pPr>
        <w:pStyle w:val="berschrift1"/>
      </w:pPr>
      <w:bookmarkStart w:id="37" w:name="_Toc239062701"/>
      <w:r>
        <w:t>Geschädigte jetzt besser geschützt</w:t>
      </w:r>
      <w:bookmarkEnd w:id="37"/>
    </w:p>
    <w:p w14:paraId="281E5742" w14:textId="77777777" w:rsidR="00C33BD6" w:rsidRDefault="000C11B8">
      <w:pPr>
        <w:pStyle w:val="Standard-Fett"/>
      </w:pPr>
      <w:r>
        <w:t xml:space="preserve">Haftungsregeln nach Unfällen mit E-Rollern wurden endlich verschärft </w:t>
      </w:r>
    </w:p>
    <w:p w14:paraId="2F0653CC" w14:textId="77777777" w:rsidR="00C33BD6" w:rsidRDefault="000C11B8">
      <w:pPr>
        <w:pStyle w:val="Vorspann"/>
      </w:pPr>
      <w:r>
        <w:t>Elektroroller – auch E-Roller genannt – gehören inzwischen zum Stadtbild. Doch häufig sind sie auch an Unfällen beteiligt. Wer dabei verletzt wurde, hatte es bislang schwer, Schadensersatzansprüche durchzusetzen. Das soll sich nun ändern. Der Bundestag hat im Juli eine Gesetzesänderung beschlossen.</w:t>
      </w:r>
    </w:p>
    <w:p w14:paraId="20C98444" w14:textId="77777777" w:rsidR="00C33BD6" w:rsidRDefault="000C11B8">
      <w:r>
        <w:t xml:space="preserve">E-Roller stehen als Hürden und Stolperfallen auf vielen Gehwegen. Manche Fahrerin und mancher Fahrer schlängelt sich eng an Fußgängerinnen und Fußgängern vorbei und rempelt sie an. Insbesondere für Menschen mit einer Behinderung, Ältere mit Rollator oder für Familien mit Kinderwagen sind die kleinen Fahrzeuge oft ein Ärgernis. </w:t>
      </w:r>
    </w:p>
    <w:p w14:paraId="6DE3DF4B" w14:textId="77777777" w:rsidR="00C33BD6" w:rsidRDefault="000C11B8">
      <w:r>
        <w:lastRenderedPageBreak/>
        <w:t xml:space="preserve">Die Zahl der Unfälle, an denen E-Roller beteiligt waren, ist in den vergangenen Jahren immer weiter gestiegen. Im Jahr 2021 waren es insgesamt 5535 Unfälle mit einem Personenschaden. Im vergangenen Jahr wurden bereits 16 496 solcher Fälle registriert. Damit hat sich die Zahl fast verdreifacht. </w:t>
      </w:r>
    </w:p>
    <w:p w14:paraId="59FA4218" w14:textId="77777777" w:rsidR="00C33BD6" w:rsidRDefault="000C11B8">
      <w:pPr>
        <w:pStyle w:val="Zwischentitel"/>
      </w:pPr>
      <w:r>
        <w:t>Schwieriger Nachweis</w:t>
      </w:r>
    </w:p>
    <w:p w14:paraId="70C68AAD" w14:textId="77777777" w:rsidR="00C33BD6" w:rsidRDefault="000C11B8">
      <w:r>
        <w:t xml:space="preserve">Bislang sind viele Geschädigte auf dem Schaden sitzen geblieben. Das lag daran, dass die E-Roller von den strengen Haftungsregeln, wie sie für andere Kraftfahrzeuge gelten, ausgenommen waren. Die Geschädigten mussten oft selbst nachweisen, wer den Unfall verursacht hatte, und dass die Fahrerin oder der Fahrer schuld war. Gerade bei Leih-E-Rollern war es aber oft schwierig, die verantwortliche Person zu ermitteln. </w:t>
      </w:r>
    </w:p>
    <w:p w14:paraId="0BC307A3" w14:textId="77777777" w:rsidR="00C33BD6" w:rsidRDefault="000C11B8">
      <w:r>
        <w:t xml:space="preserve">Mit der Gesetzesänderung werden die Rechte der Geschädigten nun gestärkt. Künftig gelten für E-Roller im Wesentlichen dieselben Haftungsregeln wie für andere Kraftfahrzeuge. </w:t>
      </w:r>
    </w:p>
    <w:p w14:paraId="5408A432" w14:textId="77777777" w:rsidR="00C33BD6" w:rsidRDefault="000C11B8">
      <w:r>
        <w:t>Gelingt es nicht, den eigentlichen Verursacher eines Unfalls ausfindig zu machen, kann künftig auch der Betreiber des E-Rollers für den Schaden haften. Zudem wurden auch die Haftungsregeln für Fahrerinnen und Fahrer verschärft. Im Streitfall werden diese herangezogen, wenn sie sich nicht selbst entlasten können.</w:t>
      </w:r>
    </w:p>
    <w:p w14:paraId="6A9003E7" w14:textId="77777777" w:rsidR="00C33BD6" w:rsidRDefault="000C11B8">
      <w:r>
        <w:t xml:space="preserve">Der bisher geltende Haftungsausschluss für E-Roller, der es Unfallopfern oft schwer machte, ihre Schadensersatzansprüche durchzusetzen, war lange umstritten. Auch der Sozialverband VdK hatte wiederholt gefordert, die Rechte der Betroffenen zu stärken und bestehende Schutzlücken zu schließen. Mit der Gesetzesänderung hat die Bundesregierung nun zentrale VdK-Forderungen aufgegriffen. Wer künftig in einen Unfall mit einem E-Roller verwickelt wird, hat einen deutlich besseren Rechtsschutz. </w:t>
      </w:r>
      <w:r>
        <w:rPr>
          <w:b/>
        </w:rPr>
        <w:t>Kristin Enge</w:t>
      </w:r>
    </w:p>
    <w:p w14:paraId="31F2AAC8" w14:textId="77777777" w:rsidR="00C33BD6" w:rsidRDefault="000C11B8">
      <w:pPr>
        <w:pStyle w:val="berschrift1"/>
      </w:pPr>
      <w:bookmarkStart w:id="38" w:name="_Toc239062702"/>
      <w:r>
        <w:t>Brandgefährliche Elektrogeräte</w:t>
      </w:r>
      <w:bookmarkEnd w:id="38"/>
    </w:p>
    <w:p w14:paraId="458E89C8" w14:textId="77777777" w:rsidR="00C33BD6" w:rsidRDefault="000C11B8">
      <w:pPr>
        <w:pStyle w:val="Standard-Fett"/>
      </w:pPr>
      <w:r>
        <w:t>Heizlüfter, Toaster und Föhn sollten nach Gebrauch ausgesteckt werden – Beim Fernseher ist das nicht notwendig</w:t>
      </w:r>
    </w:p>
    <w:p w14:paraId="0848904E" w14:textId="77777777" w:rsidR="00C33BD6" w:rsidRDefault="000C11B8">
      <w:pPr>
        <w:pStyle w:val="Vorspann"/>
      </w:pPr>
      <w:r>
        <w:t>Viele Elektrogeräte hängen permanent am Strom: Herd und Kühlschrank, aber auch Wasserkocher, Toaster und Fernseher. Nicht alle sind für den Dauerbetrieb ausgelegt. Brandschutzexperte und Buchautor Dr. Wolfgang Friedl erklärt, welche Geräte besser ausgesteckt werden sollten.</w:t>
      </w:r>
    </w:p>
    <w:p w14:paraId="62D4C139" w14:textId="77777777" w:rsidR="00C33BD6" w:rsidRDefault="000C11B8">
      <w:r>
        <w:t xml:space="preserve">Kühlschränke, Spülmaschinen und WLAN-Router können in der Regel problemlos rund um die Uhr betrieben werden. Haushaltsgeräte hingegen, die stark erhitzen, wie Wasserkocher, Toaster und Filterkaffeemaschine, sollten brandsicher genutzt werden. „Das bedeutet erstens, dass deren Untergrund nicht brennbar ist. Beispielsweise kann man eine Keramikfliese darunter stellen. Zweitens sollte direkt daneben oder darüber nichts Brennbares stehen“, erklärt Friedl. </w:t>
      </w:r>
    </w:p>
    <w:p w14:paraId="17058D16" w14:textId="77777777" w:rsidR="00C33BD6" w:rsidRDefault="000C11B8">
      <w:r>
        <w:lastRenderedPageBreak/>
        <w:t xml:space="preserve">Auch bei Geräten, die besonders viel Strom ziehen (ab 1500 Watt) oder Starkstrom benötigen, beispielsweise Durchlauferhitzer, solle man wachsam sein. „Bei Heizlüftern, Föhnen oder Toastern kommt noch die Brandgefahr durch Glühdrähte hinzu, die bis zu 600 Grad Celsius warm werden können“, betont der Experte. Bei solchen Temperaturen können entflammbare Gegenstände in direkter Umgebung zu brennen anfangen. Dazu zählen auch Hausstaub oder Krümel. Brandschutz bedeutet in diesen Fällen, die Krümelschublade des Toasters regelmäßig zu leeren oder die Ansaugöffnung des Föhns von Staub zu befreien. Auch Steckdosenleisten sollten regelmäßig abgesaugt werden. </w:t>
      </w:r>
    </w:p>
    <w:p w14:paraId="4B02559D" w14:textId="77777777" w:rsidR="00C33BD6" w:rsidRDefault="000C11B8">
      <w:r>
        <w:t xml:space="preserve">Friedl empfiehlt, selten genutzte Geräte nach dem Gebrauch auszustecken beziehungsweise auszuschalten. Dazu gehören beispielsweise Bohrmaschine, Föhn und Durchlauferhitzer. Sinnvoll sei es auch, Haushaltsgeräte mit hohem Stromverbrauch vom Strom zu nehmen, vor allem, wenn man in den Urlaub fährt oder ein Gewitter naht. Zudem sollte man sich überlegen, ob alle Geräte zu Hause notwendig sind. „Eine Kühltruhe zieht besonders viel Strom. Auch der Betrieb einer Klimaanlage kostet viel Geld“, betont er. </w:t>
      </w:r>
    </w:p>
    <w:p w14:paraId="339B52F5" w14:textId="77777777" w:rsidR="00C33BD6" w:rsidRDefault="000C11B8">
      <w:pPr>
        <w:pStyle w:val="Zwischentitel"/>
      </w:pPr>
      <w:r>
        <w:t>Vor Gebrauch prüfen</w:t>
      </w:r>
    </w:p>
    <w:p w14:paraId="68CA628F" w14:textId="77777777" w:rsidR="00C33BD6" w:rsidRDefault="000C11B8">
      <w:r>
        <w:t>Manche Menschen nutzen ihre Küche mit Herd und Kühlschrank schon seit vielen Jahren. Diese müssen nicht überprüft werden, denn für Privathaushalte gibt es keine Vorgaben, sagt Friedl. „Was jede Person aber immer vor der Inbetriebnahme von Elektrogeräten machen muss, ist, diese auf offensichtliche Schäden zu begutachten. Ist das Stromkabel geknickt, das Gehäuse zersprungen oder Flüssigkeit ins Gerät eingedrungen, darf man es nicht mehr benutzen – nicht einmal ,probehalber‘!“ Auch Geräte, die heruntergefallen oder sichtbar beschädigt sind, können Verletzungen oder Brände auslösen, warnt er. Mehrfachsteckdosen und Verlängerungskabel sollten ebenfalls gründlich kontrolliert werden.</w:t>
      </w:r>
    </w:p>
    <w:p w14:paraId="3733F4D2" w14:textId="77777777" w:rsidR="00C33BD6" w:rsidRDefault="000C11B8">
      <w:r>
        <w:t xml:space="preserve">Es spreche nichts dagegen, ältere Elektrogeräte durch neuere zu ersetzen. „Diese haben dann sicherlich mehr Funktionen und sind sparsamer im Stromverbrauch“, so Friedl. Wärmeerzeugende Geräte sind in der Regel stärker belastet und müssen früher ausgetauscht werden. </w:t>
      </w:r>
    </w:p>
    <w:p w14:paraId="5F43F334" w14:textId="77777777" w:rsidR="00C33BD6" w:rsidRDefault="000C11B8">
      <w:pPr>
        <w:pStyle w:val="Zwischentitel"/>
      </w:pPr>
      <w:r>
        <w:t>Lieber aus der Steckdose</w:t>
      </w:r>
    </w:p>
    <w:p w14:paraId="4CD606B4" w14:textId="77777777" w:rsidR="00C33BD6" w:rsidRDefault="000C11B8">
      <w:r>
        <w:t xml:space="preserve">Der Brandschutzexperte weist darauf hin, dass man lediglich ein Verlängerungskabel verwenden und nicht mehrere hintereinanderschalten darf. „Jede Steckverbindung ist eine undefinierte Schwachstelle und sollte vermieden werden. Strom aus der Wand-Steckdose ist immer brandsicherer als Strom aus einer Verlängerung“, erläutert er. Mehrfachsteckdosen dürften zudem nicht abgedeckt und nur in trockenen Räumen genutzt werden. </w:t>
      </w:r>
    </w:p>
    <w:p w14:paraId="49CC080C" w14:textId="77777777" w:rsidR="00C33BD6" w:rsidRDefault="000C11B8">
      <w:r>
        <w:t>Übrigens: Versicherungsrechtlich ist es kein Problem, wenn Geräte ständig eingesteckt sind. Normalerweise verteilt der Sicherungskasten den Strom sicher im Haus. Dennoch kann es zu einer Überspannung und folglich zu Defekten an elektronischen Teilen kommen, zum Beispiel durch einen Blitzschlag in der Nähe. Solche Schäden sind meist über die Hausratversicherung abgedeckt.</w:t>
      </w:r>
    </w:p>
    <w:p w14:paraId="335D9A56" w14:textId="77777777" w:rsidR="00C33BD6" w:rsidRDefault="000C11B8">
      <w:r>
        <w:rPr>
          <w:b/>
        </w:rPr>
        <w:t>Annette Liebmann</w:t>
      </w:r>
    </w:p>
    <w:p w14:paraId="28F6B740" w14:textId="77777777" w:rsidR="00C33BD6" w:rsidRDefault="000C11B8">
      <w:pPr>
        <w:pStyle w:val="berschrift1"/>
      </w:pPr>
      <w:bookmarkStart w:id="39" w:name="_Toc239062703"/>
      <w:r>
        <w:lastRenderedPageBreak/>
        <w:t>Lebensretter im Sicherungskasten</w:t>
      </w:r>
      <w:bookmarkEnd w:id="39"/>
    </w:p>
    <w:p w14:paraId="1BE0DC35" w14:textId="77777777" w:rsidR="00C33BD6" w:rsidRDefault="000C11B8">
      <w:pPr>
        <w:pStyle w:val="Standard-Fett"/>
      </w:pPr>
      <w:r>
        <w:t>FI-Schalter schützt vor Stromschlägen</w:t>
      </w:r>
    </w:p>
    <w:p w14:paraId="1C6C9B72" w14:textId="77777777" w:rsidR="00C33BD6" w:rsidRDefault="000C11B8">
      <w:pPr>
        <w:pStyle w:val="Vorspann"/>
      </w:pPr>
      <w:r>
        <w:t>Ein FI-Schalter gehört zur Grundausstattung moderner Elektroinstallationen. Er schützt Menschen vor gefährlichen Stromschlägen und verringert zudem das Risiko elektrisch verursachter Brände.</w:t>
      </w:r>
    </w:p>
    <w:p w14:paraId="0D94351E" w14:textId="77777777" w:rsidR="00C33BD6" w:rsidRDefault="000C11B8">
      <w:r>
        <w:t>Der FI-Schalter sitzt im Sicherungskasten. Je nach Gebäude ist dieser im Zählerschrank integriert oder als separater Verteiler ausgeführt. Das kleine Bauteil misst den Strom, der in einen Stromkreis hinein- und hinausfließt. Wenn die Werte nicht übereinstimmen, zeigt das einen Fehler an. Es schaltet den Strom in Millisekunden ab, sobald ein gefährlicher Fehlerstrom auftritt. Fliegt der FI-Schalter raus, liegt meist ein defektes Gerät oder Feuchtigkeit vor.</w:t>
      </w:r>
    </w:p>
    <w:p w14:paraId="09C66511" w14:textId="77777777" w:rsidR="00C33BD6" w:rsidRDefault="000C11B8">
      <w:r>
        <w:t>„Schon Fehlerströme ab 30 Milliampere können lebensgefährlich werden. Das ist nur ein Bruchteil der Stromstärke, die eine normale Haushaltssteckdose liefern kann“, erklärt Martin Auer, Experte der Initiative ELEKTRO+, ein Zusammenschluss von Herstellern, Branchenverbänden und Elektrohandwerk.</w:t>
      </w:r>
    </w:p>
    <w:p w14:paraId="1B1FF440" w14:textId="77777777" w:rsidR="00C33BD6" w:rsidRDefault="000C11B8">
      <w:r>
        <w:t xml:space="preserve">Seit 1984 sind FI-Schalter in Deutschland bei Neubauten für bestimmte Bereiche, wie Badezimmer oder andere Feuchträume, vorgeschrieben. Das „F“ steht für Fehler und das „I“ für das Formelzeichen der Stromstärke. Aktuell müssen sogar neu installierte Steckdosen und viele weitere Stromkreise in Wohngebäuden durch einen FI-Schalter geschützt werden. Die Vorschriften haben ein klares Ziel: den bestmöglichen Schutz für Menschen. „Ein FI-Schalter kann schwere oder sogar tödliche Stromunfälle verhindern“, betont Auer. </w:t>
      </w:r>
    </w:p>
    <w:p w14:paraId="33EA0222" w14:textId="77777777" w:rsidR="00C33BD6" w:rsidRDefault="000C11B8">
      <w:r>
        <w:t xml:space="preserve">„Bestehende Elektroinstallationen müssen in der Regel nicht nachgerüstet werden, wenn sie zum Zeitpunkt ihrer Errichtung den damals gültigen Vorschriften entsprachen“, so Auer weiter. Werden jedoch neue Stromkreise installiert oder größere Erweiterungen vorgenommen, etwa für eine Wärmepumpe oder Photovoltaikanlage, gelten die heutigen Sicherheitsanforderungen. Möglicherweise sind dann Anpassungen am Zählerschrank und der Sicherheitstechnik nötig. </w:t>
      </w:r>
    </w:p>
    <w:p w14:paraId="3360A5BF" w14:textId="77777777" w:rsidR="00C33BD6" w:rsidRDefault="000C11B8">
      <w:r>
        <w:t xml:space="preserve">Unabhängig von gesetzlichen Vorgaben empfiehlt die Initiative ELEKTRO+ insbesondere Eigentümern älterer Gebäude, die Elektroinstallation durch einen Elektrofachbetrieb überprüfen zu lassen. </w:t>
      </w:r>
      <w:r>
        <w:rPr>
          <w:b/>
        </w:rPr>
        <w:t>pet</w:t>
      </w:r>
    </w:p>
    <w:p w14:paraId="1DC37099" w14:textId="77777777" w:rsidR="00C33BD6" w:rsidRDefault="000C11B8">
      <w:pPr>
        <w:pStyle w:val="berschrift1"/>
      </w:pPr>
      <w:bookmarkStart w:id="40" w:name="_Toc239062704"/>
      <w:r>
        <w:lastRenderedPageBreak/>
        <w:t>Buchstabenblumen und Korridore ins Nichts</w:t>
      </w:r>
      <w:bookmarkEnd w:id="40"/>
    </w:p>
    <w:p w14:paraId="6DC359BF" w14:textId="77777777" w:rsidR="00C33BD6" w:rsidRDefault="000C11B8">
      <w:pPr>
        <w:pStyle w:val="Standard-Fett"/>
      </w:pPr>
      <w:r>
        <w:t>Kunsttherapeut Albin Zauner erzählt in einer Graphic Novel vom Ringen um Sprache und Orientierung bei Demenz</w:t>
      </w:r>
    </w:p>
    <w:p w14:paraId="7A56EF1E" w14:textId="77777777" w:rsidR="00C33BD6" w:rsidRDefault="000C11B8">
      <w:pPr>
        <w:pStyle w:val="Vorspann"/>
      </w:pPr>
      <w:r>
        <w:t>Durch seine langjährige Arbeit mit Menschen mit Demenz hat Kunsttherapeut Albin Zauner einen großen Erfahrungsschatz gesammelt. Dieser fließt in seine Bildererzählung „Im Demenzlabyrinth“ ein, die 2022 beim Hogrefe-Verlag erschienen ist.</w:t>
      </w:r>
    </w:p>
    <w:p w14:paraId="7420401D" w14:textId="77777777" w:rsidR="00C33BD6" w:rsidRDefault="000C11B8">
      <w:r>
        <w:t>Ein älterer Mann sitzt auf dem Sofa, hinter ihm ein hohes Regal voller Bücher. Auf den Buchrücken sind weder Autoren noch Titel zu lesen, sondern nur rätselhafte Symbole und Hieroglyphen. Als der Mann am Wandregal vorbeigeht, fallen hinter ihm zahlreiche Bände aus den Fächern, als würde ein Kartenhaus zusammenstürzen.</w:t>
      </w:r>
    </w:p>
    <w:p w14:paraId="1448A03C" w14:textId="77777777" w:rsidR="00C33BD6" w:rsidRDefault="000C11B8">
      <w:pPr>
        <w:pStyle w:val="Zwischentitel"/>
      </w:pPr>
      <w:r>
        <w:t>Verblasste Erinnerung</w:t>
      </w:r>
    </w:p>
    <w:p w14:paraId="4137CF79" w14:textId="77777777" w:rsidR="00C33BD6" w:rsidRDefault="000C11B8">
      <w:r>
        <w:t>Die Bleistiftzeichnungen erzählen von der Erlebniswelt eines demenzkranken Mannes, dessen Leben mehr und mehr an Stabilität verliert. Eindrücklich wird dargestellt, wie seine vertraute Umgebung immer befremdlicher wird. So türmen sich in einer weiteren Szene hunderte leere Papierseiten zu einem Strudel auf, die den Mann zu verschlucken scheinen. Schrank- und Zimmertüren sowie Treppen und Flure führen in die Irre.</w:t>
      </w:r>
    </w:p>
    <w:p w14:paraId="151F3F35" w14:textId="77777777" w:rsidR="00C33BD6" w:rsidRDefault="000C11B8">
      <w:r>
        <w:t>Weiße Kugeln, die über dem Kopf des Mannes schweben, drücken das Verblassen von Erinnerungen aus. Doch nicht alles verschwindet: In einer späteren Szene sind diese „Gedächtnismurmeln“ gefüllt mit Szenen aus seinem Leben.</w:t>
      </w:r>
    </w:p>
    <w:p w14:paraId="6AC89D75" w14:textId="77777777" w:rsidR="00C33BD6" w:rsidRDefault="000C11B8">
      <w:r>
        <w:t>Albin Zauner arbeitet seit 1995 in der Akutpsychiatrie am Isar-Amper-Klinikum Taufkirchen. Mehr als 15 Jahre war er im gerontopsychiatrischen Bereich tätig. Bei einem Atelierbesuch in Dorfen erzählt der Kunsttherapeut, was ihn an der Arbeit mit Menschen mit Demenz beeindruckt hat: „Trotz der neurodegenerativen Erkrankung bleibt jeder Mensch unverwechselbar. Es hat mich bereichert, mit diesen Persönlichkeiten in Kontakt zu kommen.“</w:t>
      </w:r>
    </w:p>
    <w:p w14:paraId="2D4D7D1A" w14:textId="77777777" w:rsidR="00C33BD6" w:rsidRDefault="000C11B8">
      <w:r>
        <w:t>Zauner hat den Verlust der Sprache als zentrale Grenzerfahrung für Menschen mit Demenz beobachtet. Deshalb verzichtet er in der Graphic Novel auch auf Sprechblasen. Gleichzeitig hat das Ringen um Worte für ihn einen eigenen Zauber. So erzählt er, wie neue Worte geschöpft wurden: Einmal griff sich eine Frau eine Wasserflasche, sagte „Ich muss jetzt Blumen lesen“, und begoss dann damit Pflanzen im Raum. Dieses Erlebnis hat er in der Graphic Novel aufgegriffen: Eine Gartenwiese ist voller Buchstabenblumen.</w:t>
      </w:r>
    </w:p>
    <w:p w14:paraId="10C521FE" w14:textId="77777777" w:rsidR="00C33BD6" w:rsidRDefault="000C11B8">
      <w:r>
        <w:t xml:space="preserve">„Im Demenzlabyrinth“ ist 2023 mit dem Tassilo Kulturpreis der „Süddeutschen Zeitung“ ausgezeichnet worden. Dass das Thema für Zauner weit mehr als ein berufliches Interesse ist, </w:t>
      </w:r>
      <w:r>
        <w:lastRenderedPageBreak/>
        <w:t xml:space="preserve">hat auch biografische Gründe. „Ich habe nie erlebt, wie meine Eltern alt wurden. Vielleicht war es mir deshalb ein Bedürfnis, mich mit dem Älterwerden zu beschäftigen.“ </w:t>
      </w:r>
    </w:p>
    <w:p w14:paraId="75B5D50D" w14:textId="77777777" w:rsidR="00C33BD6" w:rsidRDefault="000C11B8">
      <w:pPr>
        <w:pStyle w:val="Zwischentitel"/>
      </w:pPr>
      <w:r>
        <w:t>Träumen und zeichnen</w:t>
      </w:r>
    </w:p>
    <w:p w14:paraId="5BBB5460" w14:textId="77777777" w:rsidR="00C33BD6" w:rsidRDefault="000C11B8">
      <w:r>
        <w:t>Zauner wuchs auf einem Bauernhof in Tirol auf. Sein Vater starb, als er 13 Jahre alt war. Als jüngster Sohn hätte er den Betrieb übernehmen sollen. „Doch damals in den 1970er-Jahren breitete sich die industrielle Landwirtschaft aus. Immer mehr Kleinbauern mussten ihre Höfe aufgeben. Auch wir.“</w:t>
      </w:r>
    </w:p>
    <w:p w14:paraId="3CA0BC12" w14:textId="77777777" w:rsidR="00C33BD6" w:rsidRDefault="000C11B8">
      <w:r>
        <w:t>Er machte dann eine Gärtnereilehre. Für ihn war die Ausbildung ebenfalls ernüchternd, weil sie alles andere als ökologisch war. „Während ich mit der Giftspritze in Gewächshäusern und auf Gemüsebeeten Unkraut bekämpfte, kam ich ins Träumen – und fing an zu zeichnen.“ Nach der Lehre ging er nach Innsbruck und holte an der Abendschule sein Abitur nach.</w:t>
      </w:r>
    </w:p>
    <w:p w14:paraId="7D5BC62B" w14:textId="77777777" w:rsidR="00C33BD6" w:rsidRDefault="000C11B8">
      <w:r>
        <w:t>Er beschloss, sich für ein Studium der Malerei und Graphik an der Akademie der Bildenden Künste München zu bewerben, die ihn auf Anhieb aufnahm. „Weil ich ausschließlich zeichnete, galt ich als Exot,“ erinnert sich Zauner. Nach dem Diplom traute er es sich nicht zu, im Kunstbetrieb zu bestehen. Sein Glück war, dass die Münchner Kunstakademie 1992 einen neuen Studiengang einrichtete: Bildnerisches Gestalten und Therapie. „Ich machte Praktika in Psychiatrien und im Gefängnis. Kunsttherapie wurde bekannt, und ich fand nach dem Abschluss nahtlos einen Job.“</w:t>
      </w:r>
    </w:p>
    <w:p w14:paraId="44CE5256" w14:textId="77777777" w:rsidR="00C33BD6" w:rsidRDefault="000C11B8">
      <w:r>
        <w:t>Zauner arbeitet bereits am nächsten Projekt. In seinem kleinen Atelier hängen rund 30 Zeichnungen. „Es geht um eine junge Frau, die an einer Psychose erkrankt“, erklärt Zauner. Akute psychische Krisen sind Teil seines Berufs und fließen nun in Szenen aufs Papier. Diese Graphic Novel soll ebenfalls nur über Bilder funktionieren. „Die bildsprachliche Kraft ist mir sehr wichtig. Außerdem mag ich keine Sprechblasen“, sagt der Künstler.</w:t>
      </w:r>
    </w:p>
    <w:p w14:paraId="3A398AAE" w14:textId="77777777" w:rsidR="00C33BD6" w:rsidRDefault="000C11B8">
      <w:r>
        <w:rPr>
          <w:b/>
        </w:rPr>
        <w:t>Elisabeth Antritter</w:t>
      </w:r>
    </w:p>
    <w:p w14:paraId="4C89FC18" w14:textId="67EE4F2B" w:rsidR="00C33BD6" w:rsidRDefault="000C11B8" w:rsidP="00E74904">
      <w:pPr>
        <w:pStyle w:val="InhaltvdK"/>
      </w:pPr>
      <w:r>
        <w:t xml:space="preserve"> </w:t>
      </w:r>
      <w:r w:rsidR="00E74904" w:rsidRPr="00E74904">
        <w:rPr>
          <w:rFonts w:asciiTheme="majorHAnsi" w:hAnsiTheme="majorHAnsi" w:cs="Times New Roman"/>
          <w:color w:val="0015B7"/>
        </w:rPr>
        <w:t>www.</w:t>
      </w:r>
      <w:r w:rsidRPr="00E74904">
        <w:rPr>
          <w:rFonts w:asciiTheme="majorHAnsi" w:hAnsiTheme="majorHAnsi" w:cs="Times New Roman"/>
          <w:color w:val="0015B7"/>
        </w:rPr>
        <w:t>zauneralbin.de</w:t>
      </w:r>
      <w:r w:rsidR="00E74904">
        <w:t xml:space="preserve">  </w:t>
      </w:r>
    </w:p>
    <w:p w14:paraId="6498F81D" w14:textId="77777777" w:rsidR="00C33BD6" w:rsidRDefault="000C11B8">
      <w:pPr>
        <w:pStyle w:val="berschrift1"/>
      </w:pPr>
      <w:bookmarkStart w:id="41" w:name="_Toc239062705"/>
      <w:r>
        <w:t>Ruhig bleiben und Haltemöglichkeit suchen</w:t>
      </w:r>
      <w:bookmarkEnd w:id="41"/>
    </w:p>
    <w:p w14:paraId="5B7350BE" w14:textId="77777777" w:rsidR="00C33BD6" w:rsidRDefault="000C11B8">
      <w:pPr>
        <w:pStyle w:val="Standard-Fett"/>
      </w:pPr>
      <w:r>
        <w:t>Insekt im Auto: Allergiker sollten vor der Fahrt den Innenraum begutachten</w:t>
      </w:r>
    </w:p>
    <w:p w14:paraId="71ED6B8D" w14:textId="77777777" w:rsidR="00C33BD6" w:rsidRDefault="000C11B8">
      <w:pPr>
        <w:pStyle w:val="Vorspann"/>
      </w:pPr>
      <w:r>
        <w:t>Ist eine Wespe oder ein anderes Insekt unbemerkt ins Auto geflogen und gerät während der Fahrt plötzlich ins Sichtfeld des Fahrers oder der Fahrerin, können hektische Reaktionen schlimme Auswirkungen haben. Mit den folgenden Tipps lassen sich diese jedoch vermeiden.</w:t>
      </w:r>
    </w:p>
    <w:p w14:paraId="3C43FAF5" w14:textId="77777777" w:rsidR="00C33BD6" w:rsidRDefault="000C11B8">
      <w:r>
        <w:lastRenderedPageBreak/>
        <w:t xml:space="preserve">Wer sich beim Entdecken von ungebetenen Fahrgästen wie Spinnen oder Insekten instinktiv wegduckt, zurückschreckt oder wild mit den Händen fuchtelt, riskiert, die Kontrolle über das Auto zu verlieren. Der Automobil-Club Verkehr (ACV) rät daher, unbedingt ruhig zu bleiben, das Fahrzeug stabil weiterzuführen und das Problem nicht während der Fahrt zu klären. Das gilt auch, wenn Mitfahrende nervös oder gar gestochen werden. </w:t>
      </w:r>
    </w:p>
    <w:p w14:paraId="16FF50DD" w14:textId="77777777" w:rsidR="00C33BD6" w:rsidRDefault="000C11B8">
      <w:r>
        <w:t>Der Fokus des Fahrers oder der Fahrerin sollte weiterhin auf der Straße liegen. Als weitere Schritte empfiehlt es sich, die Geschwindigkeit gleichmäßig zu reduzieren, gegebenenfalls die Warnblinkanlage einzuschalten und eine sichere Stelle zum Anhalten zu suchen. Geeignet sind zum Beispiel Parkplätze oder Ausfahrten.</w:t>
      </w:r>
    </w:p>
    <w:p w14:paraId="5BCDE92D" w14:textId="77777777" w:rsidR="00C33BD6" w:rsidRDefault="000C11B8">
      <w:r>
        <w:t xml:space="preserve">Auf Autobahnen darf zwar grundsätzlich nicht angehalten werden. Besteht jedoch eine Gefährdung, kann es in Einzelfällen zulässig sein, den Standstreifen zu nutzen. Wichtig ist dabei, den Wagen weit rechts abzustellen, um den fließenden Verkehr nicht zu beeinträchtigen, und bei Bedarf auf der verkehrsabgewandten Seite zu verlassen. </w:t>
      </w:r>
    </w:p>
    <w:p w14:paraId="05775AB6" w14:textId="77777777" w:rsidR="00C33BD6" w:rsidRDefault="000C11B8">
      <w:r>
        <w:t>Steht das Auto sicher, reicht es meist, ein Fenster oder eine Tür zu öffnen und kurz zu warten. Viele Insekten orientieren sich am Licht und finden häufig selbst wieder nach draußen. Anpusten, hektische Bewegungen oder Schläge sollten vermieden werden.</w:t>
      </w:r>
    </w:p>
    <w:p w14:paraId="4EDFB928" w14:textId="77777777" w:rsidR="00C33BD6" w:rsidRDefault="000C11B8">
      <w:pPr>
        <w:pStyle w:val="Zwischentitel"/>
      </w:pPr>
      <w:r>
        <w:t>Notfallset griffbereit?</w:t>
      </w:r>
    </w:p>
    <w:p w14:paraId="77CF007B" w14:textId="77777777" w:rsidR="00C33BD6" w:rsidRDefault="000C11B8">
      <w:r>
        <w:t>Für Menschen mit einer Insektengiftallergie ist es sinnvoll, vor jeder Fahrt den Innenraum nach krabbelnden oder fliegenden Tierchen abzusuchen und unterwegs die Fenster geschlossen zu halten. Der Allergiepass und ein Notfallset sollten griffbereit im Fahrzeug liegen. Kommt es infolge eines Stichs zu Atemnot, Schwindel oder einem starken Schwächegefühl, sollte der Notruf 112 gewählt werden.</w:t>
      </w:r>
    </w:p>
    <w:p w14:paraId="5B525D6D" w14:textId="77777777" w:rsidR="00C33BD6" w:rsidRDefault="000C11B8">
      <w:r>
        <w:t xml:space="preserve">Bei einem Unfall durch eine Schreckreaktion übernimmt laut ACV die Kfz-Haftpflichtversicherung die Schäden anderer Beteiligter. Für den eigenen Schaden ist eine Kaskoversicherung notwendig. Entscheidend für die Versicherung ist, wie kontrolliert die Situation gehandhabt wurde. Bei grober Fahrlässigkeit kann die Leistung gekürzt werden. </w:t>
      </w:r>
      <w:r>
        <w:rPr>
          <w:b/>
        </w:rPr>
        <w:t>Mirko Besch</w:t>
      </w:r>
    </w:p>
    <w:p w14:paraId="01D70A6C" w14:textId="77777777" w:rsidR="00C33BD6" w:rsidRDefault="000C11B8">
      <w:pPr>
        <w:pStyle w:val="berschrift1"/>
      </w:pPr>
      <w:bookmarkStart w:id="42" w:name="_Toc239062706"/>
      <w:r>
        <w:t>Ohne Name kein Steuerbonus</w:t>
      </w:r>
      <w:bookmarkEnd w:id="42"/>
    </w:p>
    <w:p w14:paraId="31B79353" w14:textId="77777777" w:rsidR="00C33BD6" w:rsidRDefault="000C11B8">
      <w:pPr>
        <w:pStyle w:val="Standard-Fett"/>
      </w:pPr>
      <w:r>
        <w:t>Strengere Regeln bei den Krankheitskosten</w:t>
      </w:r>
    </w:p>
    <w:p w14:paraId="6A9B9292" w14:textId="77777777" w:rsidR="00C33BD6" w:rsidRDefault="000C11B8">
      <w:pPr>
        <w:pStyle w:val="Vorspann"/>
      </w:pPr>
      <w:r>
        <w:t xml:space="preserve">Ab der Steuererklärung für das Jahr 2025 gelten bei den Krankheitskosten strengere Nachweispflichten. </w:t>
      </w:r>
    </w:p>
    <w:p w14:paraId="6D52DD74" w14:textId="77777777" w:rsidR="00C33BD6" w:rsidRDefault="000C11B8">
      <w:r>
        <w:t xml:space="preserve">Wer bisher bestimmte Krankheitskosten, beispielsweise für Arznei- oder Hilfsmittel sowie Zuzahlungen bei Kassenleistungen, als außergewöhnliche Belastungen absetzen wollte, </w:t>
      </w:r>
      <w:r>
        <w:lastRenderedPageBreak/>
        <w:t xml:space="preserve">benötigte lediglich das ärztliche Rezept mit dem Kaufpreis und dem Stempel der Apotheke. Seit der Einführung des E-Rezepts ist das in vielen Fällen jedoch nicht mehr möglich. </w:t>
      </w:r>
    </w:p>
    <w:p w14:paraId="1F0692FE" w14:textId="77777777" w:rsidR="00C33BD6" w:rsidRDefault="000C11B8">
      <w:r>
        <w:t>Um derartige Ausgaben nachzuweisen, müssen Apothekenbelege nun zwingend auf den Namen des Patienten oder der Patientin ausgestellt sein. Bei elektronischen Rezepten erscheint dieser aber nicht immer automatisch auf dem Kassenbon. Zusätzlich müssen neben dem Medikament und dem Kaufpreis auch die Höhe der Zuzahlung und die Art des Rezepts auf dem Kassenzettel vermerkt sein.</w:t>
      </w:r>
    </w:p>
    <w:p w14:paraId="5A41EAD2" w14:textId="77777777" w:rsidR="00C33BD6" w:rsidRDefault="000C11B8">
      <w:pPr>
        <w:pStyle w:val="Zwischentitel"/>
      </w:pPr>
      <w:r>
        <w:t>Belege sammeln</w:t>
      </w:r>
    </w:p>
    <w:p w14:paraId="2DDA5E3F" w14:textId="77777777" w:rsidR="00C33BD6" w:rsidRDefault="000C11B8">
      <w:r>
        <w:t>Häufiges Problem: Da Steuerpflichtige zu Beginn des Steuerjahres meist nicht wissen, ob sie die Voraussetzungen für einen Steuerabzug von Krankheitskosten erfüllen, werfen viele Menschen „ihre Apothekenbelege achtlos in die Schublade oder sammeln diese nicht systematisch“, erklärt Tobias Gerauer, Vorstandsmitglied bei der Lohnsteuerhilfe Bayern. Zudem prüfe kaum einer nach, ob der Kassenbon die Anforderungen erfüllt. Ohne vollständige Namensnennung kann der steuerliche Vorteil jedoch verloren gehen.</w:t>
      </w:r>
    </w:p>
    <w:p w14:paraId="2D5E5634" w14:textId="77777777" w:rsidR="00C33BD6" w:rsidRDefault="000C11B8">
      <w:r>
        <w:t xml:space="preserve">Für den Steuerbonus spielen neben der Höhe der Ausgaben die Einkommenshöhe, der Familienstand und die Anzahl der steuerlich berücksichtigten Kinder eine Rolle. Daraus errechnet das Finanzamt eine zumutbare Eigenbelastung, die bei einem bis sieben Prozent des Einkommens liegt. Tipp: Fehlen ältere Belege, ist es häufig möglich, sich Ersatz bei seiner Stammapotheke zu besorgen.  </w:t>
      </w:r>
      <w:r>
        <w:rPr>
          <w:b/>
        </w:rPr>
        <w:t>mib</w:t>
      </w:r>
    </w:p>
    <w:p w14:paraId="171DCF07" w14:textId="77777777" w:rsidR="00C33BD6" w:rsidRDefault="000C11B8">
      <w:pPr>
        <w:pStyle w:val="berschrift1"/>
      </w:pPr>
      <w:bookmarkStart w:id="43" w:name="_Toc239062707"/>
      <w:r>
        <w:t>Fußball-Ikone mit Herz</w:t>
      </w:r>
      <w:bookmarkEnd w:id="43"/>
    </w:p>
    <w:p w14:paraId="6D9BF39E" w14:textId="77777777" w:rsidR="00C33BD6" w:rsidRDefault="000C11B8">
      <w:pPr>
        <w:pStyle w:val="Standard-Fett"/>
      </w:pPr>
      <w:r>
        <w:t>Paul Breitner feiert 75. Geburtstag</w:t>
      </w:r>
    </w:p>
    <w:p w14:paraId="12DDD775" w14:textId="77777777" w:rsidR="00C33BD6" w:rsidRDefault="000C11B8">
      <w:pPr>
        <w:pStyle w:val="Vorspann"/>
      </w:pPr>
      <w:r>
        <w:t>Paul Breitner wird 1974 mit der deutschen Fußballnationalmannschaft Weltmeister. Sein Elfmeter zum 1:1 im Finale gegen die Niederlande bleibt unvergessen. Der ehemalige FC-Bayern-Star feiert am 5. September seinen 75. Geburtstag.</w:t>
      </w:r>
    </w:p>
    <w:p w14:paraId="639F5C13" w14:textId="77777777" w:rsidR="00C33BD6" w:rsidRDefault="000C11B8">
      <w:r>
        <w:t>Das oberbayerische Kolbermoor nahe Rosenheim ist sein Geburtsort. Acht Jahre lang trainiert ihn sein Vater beim ESV Freilassing, wo er sich zu einem talentierten Nachwuchsspieler entwickelt. Ab 1968 spielt Breitner gemeinsam mit Uli Hoeneß in der Jugendnationalmannschaft. Dort betreut ihn Udo Lattek, der zu einem wichtigen Förderer seiner Laufbahn wird.</w:t>
      </w:r>
    </w:p>
    <w:p w14:paraId="739C240F" w14:textId="77777777" w:rsidR="00C33BD6" w:rsidRDefault="000C11B8">
      <w:r>
        <w:t xml:space="preserve">1970 macht Breitner Abitur und studiert Sonder- und Behindertenpädagogik an der Pädagogischen Hochschule in München-Pasing mit dem Ziel, Sonderschullehrer zu werden. Doch dann holt ihn Lattek, der inzwischen Trainer des FC Bayern ist, nach München. Breitner rückt in den Bundesliga-Kader auf. </w:t>
      </w:r>
    </w:p>
    <w:p w14:paraId="48204783" w14:textId="77777777" w:rsidR="00C33BD6" w:rsidRDefault="000C11B8">
      <w:r>
        <w:lastRenderedPageBreak/>
        <w:t xml:space="preserve">Seinen ersten Titel gewinnt Breitner im DFB-Pokal durch ein 2:1 im Finale gegen den 1. FC Köln. Zudem holt der vielseitige Spieler mit dem FC Bayern ab 1972 dreimal in Folge den deutschen Meistertitel. Mit der deutschen Fußballnationalmannschaft wird Breitner 1972 Europameister und zwei Jahre später Weltmeister. </w:t>
      </w:r>
    </w:p>
    <w:p w14:paraId="1964545E" w14:textId="77777777" w:rsidR="00C33BD6" w:rsidRDefault="000C11B8">
      <w:r>
        <w:t xml:space="preserve">Breitner gerät mit seiner offenen kritischen Haltung immer wieder mit konservativen Fußballfunktionären aneinander. 1974 wechselt er zu Real Madrid und spielt an der Seite von Günter Netzer. Nach einem Jahr in Braunschweig kehrt er 1978 zum FC Bayern zurück. 1983 zieht er sich schließlich aus dem Profifußball zurück. </w:t>
      </w:r>
    </w:p>
    <w:p w14:paraId="39056394" w14:textId="77777777" w:rsidR="00C33BD6" w:rsidRDefault="000C11B8">
      <w:r>
        <w:t>Nach seiner aktiven Zeit als Fußballer besorgt ihn zunehmend, dass die Schere zwischen Arm und Reich gerade in Städten auseinandergeht. Jahrelang verteilt er ehrenamtlich Essen bei der Münchner Tafel. Derzeit ist er „Mahlzeiten-Pate“ für den Malteser Hilfsdienst und besucht ältere Menschen. „Ich versuche, ein bisschen die Not zu lindern und den Leuten eine halbe Stunde Zeit zu geben“, erklärt er im BR-Fernsehen. ant</w:t>
      </w:r>
    </w:p>
    <w:sectPr w:rsidR="00C33BD6">
      <w:head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98A20" w14:textId="77777777" w:rsidR="00F94694" w:rsidRDefault="00F94694" w:rsidP="00F94694">
      <w:pPr>
        <w:spacing w:after="0" w:line="240" w:lineRule="auto"/>
      </w:pPr>
      <w:r>
        <w:separator/>
      </w:r>
    </w:p>
  </w:endnote>
  <w:endnote w:type="continuationSeparator" w:id="0">
    <w:p w14:paraId="02D298D1" w14:textId="77777777"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4D177" w14:textId="77777777" w:rsidR="00F94694" w:rsidRDefault="00F94694" w:rsidP="00F94694">
      <w:pPr>
        <w:spacing w:after="0" w:line="240" w:lineRule="auto"/>
      </w:pPr>
      <w:r>
        <w:separator/>
      </w:r>
    </w:p>
  </w:footnote>
  <w:footnote w:type="continuationSeparator" w:id="0">
    <w:p w14:paraId="69FA8D70" w14:textId="77777777"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3F743" w14:textId="77777777" w:rsidR="00FC7E92" w:rsidRDefault="00E74904"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rsidR="000C11B8">
          <w:t>VdK-Zeitung Gesamt September-2026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14:paraId="537187BA" w14:textId="77777777"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11B8"/>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E2624"/>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27B5"/>
    <w:rsid w:val="005538A4"/>
    <w:rsid w:val="00553D34"/>
    <w:rsid w:val="00556F82"/>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31BC"/>
    <w:rsid w:val="00AF45FB"/>
    <w:rsid w:val="00B01712"/>
    <w:rsid w:val="00B11568"/>
    <w:rsid w:val="00B11FFF"/>
    <w:rsid w:val="00B169EA"/>
    <w:rsid w:val="00B20F19"/>
    <w:rsid w:val="00B21AF1"/>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33BD6"/>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4904"/>
    <w:rsid w:val="00E76EEF"/>
    <w:rsid w:val="00E844B9"/>
    <w:rsid w:val="00E84AEF"/>
    <w:rsid w:val="00E86908"/>
    <w:rsid w:val="00E876B1"/>
    <w:rsid w:val="00E90830"/>
    <w:rsid w:val="00EB057A"/>
    <w:rsid w:val="00EC0FA4"/>
    <w:rsid w:val="00EC1832"/>
    <w:rsid w:val="00EC79C9"/>
    <w:rsid w:val="00EE1DBB"/>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3B72C2"/>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 w:type="character" w:styleId="NichtaufgelsteErwhnung">
    <w:name w:val="Unresolved Mention"/>
    <w:basedOn w:val="Absatz-Standardschriftart"/>
    <w:uiPriority w:val="99"/>
    <w:semiHidden/>
    <w:unhideWhenUsed/>
    <w:rsid w:val="000C1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b.de/aktionstag" TargetMode="External"/><Relationship Id="rId13" Type="http://schemas.openxmlformats.org/officeDocument/2006/relationships/hyperlink" Target="http://www.vdk.de/gkv-spargeset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dk.de/pflegeantra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kt.adfc.de/befragu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dk.de/pflegeratgeber" TargetMode="External"/><Relationship Id="rId5" Type="http://schemas.openxmlformats.org/officeDocument/2006/relationships/webSettings" Target="webSettings.xml"/><Relationship Id="rId15" Type="http://schemas.openxmlformats.org/officeDocument/2006/relationships/hyperlink" Target="https://www.stiftung-pro-alter.de/engagementpreis-80plus/preis-2026" TargetMode="External"/><Relationship Id="rId10" Type="http://schemas.openxmlformats.org/officeDocument/2006/relationships/hyperlink" Target="https://www.sozialplattform.de."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vdk.de/komm-zur-demo" TargetMode="External"/><Relationship Id="rId14" Type="http://schemas.openxmlformats.org/officeDocument/2006/relationships/hyperlink" Target="https://www.apoguide.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B46A79"/>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66F33-E260-4372-84B9-D2B15FD4A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16708</Words>
  <Characters>112201</Characters>
  <Application>Microsoft Office Word</Application>
  <DocSecurity>0</DocSecurity>
  <Lines>935</Lines>
  <Paragraphs>257</Paragraphs>
  <ScaleCrop>false</ScaleCrop>
  <HeadingPairs>
    <vt:vector size="2" baseType="variant">
      <vt:variant>
        <vt:lpstr>Titel</vt:lpstr>
      </vt:variant>
      <vt:variant>
        <vt:i4>1</vt:i4>
      </vt:variant>
    </vt:vector>
  </HeadingPairs>
  <TitlesOfParts>
    <vt:vector size="1" baseType="lpstr">
      <vt:lpstr>VdK-Zeitung Gesamt September-2026</vt:lpstr>
    </vt:vector>
  </TitlesOfParts>
  <Company/>
  <LinksUpToDate>false</LinksUpToDate>
  <CharactersWithSpaces>128652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Gesamt September-2026</dc:title>
  <dc:subject/>
  <dc:creator>Sozialverband VdK Deutschland e. V.</dc:creator>
  <cp:keywords/>
  <dc:description/>
  <cp:lastModifiedBy>Christina Liebeck</cp:lastModifiedBy>
  <cp:revision>33</cp:revision>
  <dcterms:created xsi:type="dcterms:W3CDTF">2023-11-21T14:29:00Z</dcterms:created>
  <dcterms:modified xsi:type="dcterms:W3CDTF">2026-09-07T06:50:00Z</dcterms:modified>
</cp:coreProperties>
</file>