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6FC3" w:rsidRDefault="00466FC3">
      <w:pPr>
        <w:pStyle w:val="Inhaltsverzeichnisberschrift"/>
        <w:rPr>
          <w:rFonts w:asciiTheme="majorHAnsi" w:eastAsia="Times New Roman" w:hAnsiTheme="majorHAnsi"/>
          <w:bCs w:val="0"/>
          <w:color w:val="auto"/>
          <w:sz w:val="22"/>
          <w:szCs w:val="22"/>
          <w:lang w:eastAsia="en-US"/>
        </w:rPr>
      </w:pPr>
      <w:bookmarkStart w:id="0" w:name="_GoBack"/>
      <w:bookmarkEnd w:id="0"/>
      <w:r>
        <w:rPr>
          <w:rFonts w:asciiTheme="majorHAnsi" w:eastAsia="Times New Roman" w:hAnsiTheme="majorHAnsi"/>
          <w:b/>
          <w:bCs w:val="0"/>
          <w:color w:val="auto"/>
          <w:sz w:val="22"/>
          <w:szCs w:val="22"/>
          <w:lang w:eastAsia="en-US"/>
        </w:rPr>
        <w:t>Screenreader-</w:t>
      </w:r>
      <w:r w:rsidRPr="00466FC3">
        <w:rPr>
          <w:rFonts w:asciiTheme="majorHAnsi" w:eastAsia="Times New Roman" w:hAnsiTheme="majorHAnsi"/>
          <w:b/>
          <w:bCs w:val="0"/>
          <w:color w:val="auto"/>
          <w:sz w:val="22"/>
          <w:szCs w:val="22"/>
          <w:lang w:eastAsia="en-US"/>
        </w:rPr>
        <w:t>Hinweis:</w:t>
      </w:r>
      <w:r>
        <w:rPr>
          <w:rFonts w:asciiTheme="majorHAnsi" w:eastAsia="Times New Roman" w:hAnsiTheme="majorHAnsi"/>
          <w:bCs w:val="0"/>
          <w:color w:val="auto"/>
          <w:sz w:val="22"/>
          <w:szCs w:val="22"/>
          <w:lang w:eastAsia="en-US"/>
        </w:rPr>
        <w:t xml:space="preserve"> Die Navigation über das Inhaltsverzeichnis</w:t>
      </w:r>
      <w:r w:rsidR="007070F2">
        <w:rPr>
          <w:rFonts w:asciiTheme="majorHAnsi" w:eastAsia="Times New Roman" w:hAnsiTheme="majorHAnsi"/>
          <w:bCs w:val="0"/>
          <w:color w:val="auto"/>
          <w:sz w:val="22"/>
          <w:szCs w:val="22"/>
          <w:lang w:eastAsia="en-US"/>
        </w:rPr>
        <w:t xml:space="preserve"> kann, je nach verwendeter Software,</w:t>
      </w:r>
      <w:r>
        <w:rPr>
          <w:rFonts w:asciiTheme="majorHAnsi" w:eastAsia="Times New Roman" w:hAnsiTheme="majorHAnsi"/>
          <w:bCs w:val="0"/>
          <w:color w:val="auto"/>
          <w:sz w:val="22"/>
          <w:szCs w:val="22"/>
          <w:lang w:eastAsia="en-US"/>
        </w:rPr>
        <w:t xml:space="preserve"> </w:t>
      </w:r>
      <w:r w:rsidR="007070F2">
        <w:rPr>
          <w:rFonts w:asciiTheme="majorHAnsi" w:eastAsia="Times New Roman" w:hAnsiTheme="majorHAnsi"/>
          <w:bCs w:val="0"/>
          <w:color w:val="auto"/>
          <w:sz w:val="22"/>
          <w:szCs w:val="22"/>
          <w:lang w:eastAsia="en-US"/>
        </w:rPr>
        <w:t xml:space="preserve">schwierig sein. </w:t>
      </w:r>
      <w:r>
        <w:rPr>
          <w:rFonts w:asciiTheme="majorHAnsi" w:eastAsia="Times New Roman" w:hAnsiTheme="majorHAnsi"/>
          <w:bCs w:val="0"/>
          <w:color w:val="auto"/>
          <w:sz w:val="22"/>
          <w:szCs w:val="22"/>
          <w:lang w:eastAsia="en-US"/>
        </w:rPr>
        <w:t>Nutzen Sie dann die Navigation über die Überschriften.</w:t>
      </w:r>
    </w:p>
    <w:sdt>
      <w:sdtPr>
        <w:rPr>
          <w:rFonts w:asciiTheme="majorHAnsi" w:eastAsia="Times New Roman" w:hAnsiTheme="majorHAnsi"/>
          <w:bCs w:val="0"/>
          <w:color w:val="auto"/>
          <w:sz w:val="22"/>
          <w:szCs w:val="22"/>
          <w:lang w:eastAsia="en-US"/>
        </w:rPr>
        <w:id w:val="-2111969731"/>
        <w:docPartObj>
          <w:docPartGallery w:val="Table of Contents"/>
        </w:docPartObj>
      </w:sdtPr>
      <w:sdtEndPr>
        <w:rPr>
          <w:b/>
        </w:rPr>
      </w:sdtEndPr>
      <w:sdtContent>
        <w:p w:rsidR="00D3742D" w:rsidRDefault="00D3742D">
          <w:pPr>
            <w:pStyle w:val="Inhaltsverzeichnisberschrift"/>
          </w:pPr>
          <w:r>
            <w:t>Inhaltsverzeichnis</w:t>
          </w:r>
        </w:p>
        <w:p w:rsidR="008F14E5" w:rsidRDefault="00AA6B2B">
          <w:pPr>
            <w:pStyle w:val="Verzeichnis1"/>
            <w:tabs>
              <w:tab w:val="right" w:leader="dot" w:pos="9062"/>
            </w:tabs>
            <w:rPr>
              <w:rFonts w:asciiTheme="minorHAnsi" w:eastAsiaTheme="minorEastAsia" w:hAnsiTheme="minorHAnsi" w:cstheme="minorBidi"/>
              <w:noProof/>
              <w:lang w:eastAsia="de-DE"/>
            </w:rPr>
          </w:pPr>
          <w:r>
            <w:fldChar w:fldCharType="begin"/>
          </w:r>
          <w:r>
            <w:instrText xml:space="preserve"> TOC \o "1-1" \h \z \u </w:instrText>
          </w:r>
          <w:r>
            <w:fldChar w:fldCharType="separate"/>
          </w:r>
          <w:hyperlink w:anchor="_Toc241048491" w:history="1">
            <w:r w:rsidR="008F14E5" w:rsidRPr="003537A9">
              <w:rPr>
                <w:rStyle w:val="Hyperlink"/>
                <w:noProof/>
              </w:rPr>
              <w:t>„Sozialpolitik muss wieder Sicherheit schaffen“</w:t>
            </w:r>
            <w:r w:rsidR="008F14E5">
              <w:rPr>
                <w:noProof/>
                <w:webHidden/>
              </w:rPr>
              <w:tab/>
            </w:r>
            <w:r w:rsidR="008F14E5">
              <w:rPr>
                <w:noProof/>
                <w:webHidden/>
              </w:rPr>
              <w:fldChar w:fldCharType="begin"/>
            </w:r>
            <w:r w:rsidR="008F14E5">
              <w:rPr>
                <w:noProof/>
                <w:webHidden/>
              </w:rPr>
              <w:instrText xml:space="preserve"> PAGEREF _Toc241048491 \h </w:instrText>
            </w:r>
            <w:r w:rsidR="008F14E5">
              <w:rPr>
                <w:noProof/>
                <w:webHidden/>
              </w:rPr>
            </w:r>
            <w:r w:rsidR="008F14E5">
              <w:rPr>
                <w:noProof/>
                <w:webHidden/>
              </w:rPr>
              <w:fldChar w:fldCharType="separate"/>
            </w:r>
            <w:r w:rsidR="008F14E5">
              <w:rPr>
                <w:noProof/>
                <w:webHidden/>
              </w:rPr>
              <w:t>2</w:t>
            </w:r>
            <w:r w:rsidR="008F14E5">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492" w:history="1">
            <w:r w:rsidRPr="003537A9">
              <w:rPr>
                <w:rStyle w:val="Hyperlink"/>
                <w:noProof/>
              </w:rPr>
              <w:t>Inklusion stärkt unsere Gesellschaft</w:t>
            </w:r>
            <w:r>
              <w:rPr>
                <w:noProof/>
                <w:webHidden/>
              </w:rPr>
              <w:tab/>
            </w:r>
            <w:r>
              <w:rPr>
                <w:noProof/>
                <w:webHidden/>
              </w:rPr>
              <w:fldChar w:fldCharType="begin"/>
            </w:r>
            <w:r>
              <w:rPr>
                <w:noProof/>
                <w:webHidden/>
              </w:rPr>
              <w:instrText xml:space="preserve"> PAGEREF _Toc241048492 \h </w:instrText>
            </w:r>
            <w:r>
              <w:rPr>
                <w:noProof/>
                <w:webHidden/>
              </w:rPr>
            </w:r>
            <w:r>
              <w:rPr>
                <w:noProof/>
                <w:webHidden/>
              </w:rPr>
              <w:fldChar w:fldCharType="separate"/>
            </w:r>
            <w:r>
              <w:rPr>
                <w:noProof/>
                <w:webHidden/>
              </w:rPr>
              <w:t>3</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493" w:history="1">
            <w:r w:rsidRPr="003537A9">
              <w:rPr>
                <w:rStyle w:val="Hyperlink"/>
                <w:noProof/>
              </w:rPr>
              <w:t>Jüngere gehen kränker Richtung Rente</w:t>
            </w:r>
            <w:r>
              <w:rPr>
                <w:noProof/>
                <w:webHidden/>
              </w:rPr>
              <w:tab/>
            </w:r>
            <w:r>
              <w:rPr>
                <w:noProof/>
                <w:webHidden/>
              </w:rPr>
              <w:fldChar w:fldCharType="begin"/>
            </w:r>
            <w:r>
              <w:rPr>
                <w:noProof/>
                <w:webHidden/>
              </w:rPr>
              <w:instrText xml:space="preserve"> PAGEREF _Toc241048493 \h </w:instrText>
            </w:r>
            <w:r>
              <w:rPr>
                <w:noProof/>
                <w:webHidden/>
              </w:rPr>
            </w:r>
            <w:r>
              <w:rPr>
                <w:noProof/>
                <w:webHidden/>
              </w:rPr>
              <w:fldChar w:fldCharType="separate"/>
            </w:r>
            <w:r>
              <w:rPr>
                <w:noProof/>
                <w:webHidden/>
              </w:rPr>
              <w:t>4</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494" w:history="1">
            <w:r w:rsidRPr="003537A9">
              <w:rPr>
                <w:rStyle w:val="Hyperlink"/>
                <w:noProof/>
              </w:rPr>
              <w:t>Krankschreibung ab Tag eins</w:t>
            </w:r>
            <w:r>
              <w:rPr>
                <w:noProof/>
                <w:webHidden/>
              </w:rPr>
              <w:tab/>
            </w:r>
            <w:r>
              <w:rPr>
                <w:noProof/>
                <w:webHidden/>
              </w:rPr>
              <w:fldChar w:fldCharType="begin"/>
            </w:r>
            <w:r>
              <w:rPr>
                <w:noProof/>
                <w:webHidden/>
              </w:rPr>
              <w:instrText xml:space="preserve"> PAGEREF _Toc241048494 \h </w:instrText>
            </w:r>
            <w:r>
              <w:rPr>
                <w:noProof/>
                <w:webHidden/>
              </w:rPr>
            </w:r>
            <w:r>
              <w:rPr>
                <w:noProof/>
                <w:webHidden/>
              </w:rPr>
              <w:fldChar w:fldCharType="separate"/>
            </w:r>
            <w:r>
              <w:rPr>
                <w:noProof/>
                <w:webHidden/>
              </w:rPr>
              <w:t>5</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495" w:history="1">
            <w:r w:rsidRPr="003537A9">
              <w:rPr>
                <w:rStyle w:val="Hyperlink"/>
                <w:noProof/>
              </w:rPr>
              <w:t>Zentrale Fragen beraten</w:t>
            </w:r>
            <w:r>
              <w:rPr>
                <w:noProof/>
                <w:webHidden/>
              </w:rPr>
              <w:tab/>
            </w:r>
            <w:r>
              <w:rPr>
                <w:noProof/>
                <w:webHidden/>
              </w:rPr>
              <w:fldChar w:fldCharType="begin"/>
            </w:r>
            <w:r>
              <w:rPr>
                <w:noProof/>
                <w:webHidden/>
              </w:rPr>
              <w:instrText xml:space="preserve"> PAGEREF _Toc241048495 \h </w:instrText>
            </w:r>
            <w:r>
              <w:rPr>
                <w:noProof/>
                <w:webHidden/>
              </w:rPr>
            </w:r>
            <w:r>
              <w:rPr>
                <w:noProof/>
                <w:webHidden/>
              </w:rPr>
              <w:fldChar w:fldCharType="separate"/>
            </w:r>
            <w:r>
              <w:rPr>
                <w:noProof/>
                <w:webHidden/>
              </w:rPr>
              <w:t>6</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496" w:history="1">
            <w:r w:rsidRPr="003537A9">
              <w:rPr>
                <w:rStyle w:val="Hyperlink"/>
                <w:noProof/>
              </w:rPr>
              <w:t>Tödliche Hitze</w:t>
            </w:r>
            <w:r>
              <w:rPr>
                <w:noProof/>
                <w:webHidden/>
              </w:rPr>
              <w:tab/>
            </w:r>
            <w:r>
              <w:rPr>
                <w:noProof/>
                <w:webHidden/>
              </w:rPr>
              <w:fldChar w:fldCharType="begin"/>
            </w:r>
            <w:r>
              <w:rPr>
                <w:noProof/>
                <w:webHidden/>
              </w:rPr>
              <w:instrText xml:space="preserve"> PAGEREF _Toc241048496 \h </w:instrText>
            </w:r>
            <w:r>
              <w:rPr>
                <w:noProof/>
                <w:webHidden/>
              </w:rPr>
            </w:r>
            <w:r>
              <w:rPr>
                <w:noProof/>
                <w:webHidden/>
              </w:rPr>
              <w:fldChar w:fldCharType="separate"/>
            </w:r>
            <w:r>
              <w:rPr>
                <w:noProof/>
                <w:webHidden/>
              </w:rPr>
              <w:t>7</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497" w:history="1">
            <w:r w:rsidRPr="003537A9">
              <w:rPr>
                <w:rStyle w:val="Hyperlink"/>
                <w:noProof/>
              </w:rPr>
              <w:t>Mit Hilfe geht es besser als alleine</w:t>
            </w:r>
            <w:r>
              <w:rPr>
                <w:noProof/>
                <w:webHidden/>
              </w:rPr>
              <w:tab/>
            </w:r>
            <w:r>
              <w:rPr>
                <w:noProof/>
                <w:webHidden/>
              </w:rPr>
              <w:fldChar w:fldCharType="begin"/>
            </w:r>
            <w:r>
              <w:rPr>
                <w:noProof/>
                <w:webHidden/>
              </w:rPr>
              <w:instrText xml:space="preserve"> PAGEREF _Toc241048497 \h </w:instrText>
            </w:r>
            <w:r>
              <w:rPr>
                <w:noProof/>
                <w:webHidden/>
              </w:rPr>
            </w:r>
            <w:r>
              <w:rPr>
                <w:noProof/>
                <w:webHidden/>
              </w:rPr>
              <w:fldChar w:fldCharType="separate"/>
            </w:r>
            <w:r>
              <w:rPr>
                <w:noProof/>
                <w:webHidden/>
              </w:rPr>
              <w:t>8</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498" w:history="1">
            <w:r w:rsidRPr="003537A9">
              <w:rPr>
                <w:rStyle w:val="Hyperlink"/>
                <w:noProof/>
              </w:rPr>
              <w:t>Wichtige Auszeit von der Pflege daheim</w:t>
            </w:r>
            <w:r>
              <w:rPr>
                <w:noProof/>
                <w:webHidden/>
              </w:rPr>
              <w:tab/>
            </w:r>
            <w:r>
              <w:rPr>
                <w:noProof/>
                <w:webHidden/>
              </w:rPr>
              <w:fldChar w:fldCharType="begin"/>
            </w:r>
            <w:r>
              <w:rPr>
                <w:noProof/>
                <w:webHidden/>
              </w:rPr>
              <w:instrText xml:space="preserve"> PAGEREF _Toc241048498 \h </w:instrText>
            </w:r>
            <w:r>
              <w:rPr>
                <w:noProof/>
                <w:webHidden/>
              </w:rPr>
            </w:r>
            <w:r>
              <w:rPr>
                <w:noProof/>
                <w:webHidden/>
              </w:rPr>
              <w:fldChar w:fldCharType="separate"/>
            </w:r>
            <w:r>
              <w:rPr>
                <w:noProof/>
                <w:webHidden/>
              </w:rPr>
              <w:t>9</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499" w:history="1">
            <w:r w:rsidRPr="003537A9">
              <w:rPr>
                <w:rStyle w:val="Hyperlink"/>
                <w:noProof/>
              </w:rPr>
              <w:t>Renten-Debatte oft von Unkenntnis geprägt</w:t>
            </w:r>
            <w:r>
              <w:rPr>
                <w:noProof/>
                <w:webHidden/>
              </w:rPr>
              <w:tab/>
            </w:r>
            <w:r>
              <w:rPr>
                <w:noProof/>
                <w:webHidden/>
              </w:rPr>
              <w:fldChar w:fldCharType="begin"/>
            </w:r>
            <w:r>
              <w:rPr>
                <w:noProof/>
                <w:webHidden/>
              </w:rPr>
              <w:instrText xml:space="preserve"> PAGEREF _Toc241048499 \h </w:instrText>
            </w:r>
            <w:r>
              <w:rPr>
                <w:noProof/>
                <w:webHidden/>
              </w:rPr>
            </w:r>
            <w:r>
              <w:rPr>
                <w:noProof/>
                <w:webHidden/>
              </w:rPr>
              <w:fldChar w:fldCharType="separate"/>
            </w:r>
            <w:r>
              <w:rPr>
                <w:noProof/>
                <w:webHidden/>
              </w:rPr>
              <w:t>11</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0" w:history="1">
            <w:r w:rsidRPr="003537A9">
              <w:rPr>
                <w:rStyle w:val="Hyperlink"/>
                <w:noProof/>
              </w:rPr>
              <w:t>Mit vereinfachten Anträgen gegen die Armut</w:t>
            </w:r>
            <w:r>
              <w:rPr>
                <w:noProof/>
                <w:webHidden/>
              </w:rPr>
              <w:tab/>
            </w:r>
            <w:r>
              <w:rPr>
                <w:noProof/>
                <w:webHidden/>
              </w:rPr>
              <w:fldChar w:fldCharType="begin"/>
            </w:r>
            <w:r>
              <w:rPr>
                <w:noProof/>
                <w:webHidden/>
              </w:rPr>
              <w:instrText xml:space="preserve"> PAGEREF _Toc241048500 \h </w:instrText>
            </w:r>
            <w:r>
              <w:rPr>
                <w:noProof/>
                <w:webHidden/>
              </w:rPr>
            </w:r>
            <w:r>
              <w:rPr>
                <w:noProof/>
                <w:webHidden/>
              </w:rPr>
              <w:fldChar w:fldCharType="separate"/>
            </w:r>
            <w:r>
              <w:rPr>
                <w:noProof/>
                <w:webHidden/>
              </w:rPr>
              <w:t>12</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1" w:history="1">
            <w:r w:rsidRPr="003537A9">
              <w:rPr>
                <w:rStyle w:val="Hyperlink"/>
                <w:noProof/>
              </w:rPr>
              <w:t>Weniger Geld für KfW-Programm</w:t>
            </w:r>
            <w:r>
              <w:rPr>
                <w:noProof/>
                <w:webHidden/>
              </w:rPr>
              <w:tab/>
            </w:r>
            <w:r>
              <w:rPr>
                <w:noProof/>
                <w:webHidden/>
              </w:rPr>
              <w:fldChar w:fldCharType="begin"/>
            </w:r>
            <w:r>
              <w:rPr>
                <w:noProof/>
                <w:webHidden/>
              </w:rPr>
              <w:instrText xml:space="preserve"> PAGEREF _Toc241048501 \h </w:instrText>
            </w:r>
            <w:r>
              <w:rPr>
                <w:noProof/>
                <w:webHidden/>
              </w:rPr>
            </w:r>
            <w:r>
              <w:rPr>
                <w:noProof/>
                <w:webHidden/>
              </w:rPr>
              <w:fldChar w:fldCharType="separate"/>
            </w:r>
            <w:r>
              <w:rPr>
                <w:noProof/>
                <w:webHidden/>
              </w:rPr>
              <w:t>13</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2" w:history="1">
            <w:r w:rsidRPr="003537A9">
              <w:rPr>
                <w:rStyle w:val="Hyperlink"/>
                <w:noProof/>
              </w:rPr>
              <w:t>VdK verhilft Mitglied zum entscheidenden GdB</w:t>
            </w:r>
            <w:r>
              <w:rPr>
                <w:noProof/>
                <w:webHidden/>
              </w:rPr>
              <w:tab/>
            </w:r>
            <w:r>
              <w:rPr>
                <w:noProof/>
                <w:webHidden/>
              </w:rPr>
              <w:fldChar w:fldCharType="begin"/>
            </w:r>
            <w:r>
              <w:rPr>
                <w:noProof/>
                <w:webHidden/>
              </w:rPr>
              <w:instrText xml:space="preserve"> PAGEREF _Toc241048502 \h </w:instrText>
            </w:r>
            <w:r>
              <w:rPr>
                <w:noProof/>
                <w:webHidden/>
              </w:rPr>
            </w:r>
            <w:r>
              <w:rPr>
                <w:noProof/>
                <w:webHidden/>
              </w:rPr>
              <w:fldChar w:fldCharType="separate"/>
            </w:r>
            <w:r>
              <w:rPr>
                <w:noProof/>
                <w:webHidden/>
              </w:rPr>
              <w:t>14</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3" w:history="1">
            <w:r w:rsidRPr="003537A9">
              <w:rPr>
                <w:rStyle w:val="Hyperlink"/>
                <w:noProof/>
              </w:rPr>
              <w:t>Reha für Schmerzpatienten erstritten</w:t>
            </w:r>
            <w:r>
              <w:rPr>
                <w:noProof/>
                <w:webHidden/>
              </w:rPr>
              <w:tab/>
            </w:r>
            <w:r>
              <w:rPr>
                <w:noProof/>
                <w:webHidden/>
              </w:rPr>
              <w:fldChar w:fldCharType="begin"/>
            </w:r>
            <w:r>
              <w:rPr>
                <w:noProof/>
                <w:webHidden/>
              </w:rPr>
              <w:instrText xml:space="preserve"> PAGEREF _Toc241048503 \h </w:instrText>
            </w:r>
            <w:r>
              <w:rPr>
                <w:noProof/>
                <w:webHidden/>
              </w:rPr>
            </w:r>
            <w:r>
              <w:rPr>
                <w:noProof/>
                <w:webHidden/>
              </w:rPr>
              <w:fldChar w:fldCharType="separate"/>
            </w:r>
            <w:r>
              <w:rPr>
                <w:noProof/>
                <w:webHidden/>
              </w:rPr>
              <w:t>15</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4" w:history="1">
            <w:r w:rsidRPr="003537A9">
              <w:rPr>
                <w:rStyle w:val="Hyperlink"/>
                <w:noProof/>
              </w:rPr>
              <w:t>Alternative zur Pflegebox</w:t>
            </w:r>
            <w:r>
              <w:rPr>
                <w:noProof/>
                <w:webHidden/>
              </w:rPr>
              <w:tab/>
            </w:r>
            <w:r>
              <w:rPr>
                <w:noProof/>
                <w:webHidden/>
              </w:rPr>
              <w:fldChar w:fldCharType="begin"/>
            </w:r>
            <w:r>
              <w:rPr>
                <w:noProof/>
                <w:webHidden/>
              </w:rPr>
              <w:instrText xml:space="preserve"> PAGEREF _Toc241048504 \h </w:instrText>
            </w:r>
            <w:r>
              <w:rPr>
                <w:noProof/>
                <w:webHidden/>
              </w:rPr>
            </w:r>
            <w:r>
              <w:rPr>
                <w:noProof/>
                <w:webHidden/>
              </w:rPr>
              <w:fldChar w:fldCharType="separate"/>
            </w:r>
            <w:r>
              <w:rPr>
                <w:noProof/>
                <w:webHidden/>
              </w:rPr>
              <w:t>17</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5" w:history="1">
            <w:r w:rsidRPr="003537A9">
              <w:rPr>
                <w:rStyle w:val="Hyperlink"/>
                <w:noProof/>
              </w:rPr>
              <w:t>Kurze Leitung zur Zentrale</w:t>
            </w:r>
            <w:r>
              <w:rPr>
                <w:noProof/>
                <w:webHidden/>
              </w:rPr>
              <w:tab/>
            </w:r>
            <w:r>
              <w:rPr>
                <w:noProof/>
                <w:webHidden/>
              </w:rPr>
              <w:fldChar w:fldCharType="begin"/>
            </w:r>
            <w:r>
              <w:rPr>
                <w:noProof/>
                <w:webHidden/>
              </w:rPr>
              <w:instrText xml:space="preserve"> PAGEREF _Toc241048505 \h </w:instrText>
            </w:r>
            <w:r>
              <w:rPr>
                <w:noProof/>
                <w:webHidden/>
              </w:rPr>
            </w:r>
            <w:r>
              <w:rPr>
                <w:noProof/>
                <w:webHidden/>
              </w:rPr>
              <w:fldChar w:fldCharType="separate"/>
            </w:r>
            <w:r>
              <w:rPr>
                <w:noProof/>
                <w:webHidden/>
              </w:rPr>
              <w:t>18</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6" w:history="1">
            <w:r w:rsidRPr="003537A9">
              <w:rPr>
                <w:rStyle w:val="Hyperlink"/>
                <w:noProof/>
              </w:rPr>
              <w:t>Pflege darf kein Nachteil werden</w:t>
            </w:r>
            <w:r>
              <w:rPr>
                <w:noProof/>
                <w:webHidden/>
              </w:rPr>
              <w:tab/>
            </w:r>
            <w:r>
              <w:rPr>
                <w:noProof/>
                <w:webHidden/>
              </w:rPr>
              <w:fldChar w:fldCharType="begin"/>
            </w:r>
            <w:r>
              <w:rPr>
                <w:noProof/>
                <w:webHidden/>
              </w:rPr>
              <w:instrText xml:space="preserve"> PAGEREF _Toc241048506 \h </w:instrText>
            </w:r>
            <w:r>
              <w:rPr>
                <w:noProof/>
                <w:webHidden/>
              </w:rPr>
            </w:r>
            <w:r>
              <w:rPr>
                <w:noProof/>
                <w:webHidden/>
              </w:rPr>
              <w:fldChar w:fldCharType="separate"/>
            </w:r>
            <w:r>
              <w:rPr>
                <w:noProof/>
                <w:webHidden/>
              </w:rPr>
              <w:t>19</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7" w:history="1">
            <w:r w:rsidRPr="003537A9">
              <w:rPr>
                <w:rStyle w:val="Hyperlink"/>
                <w:noProof/>
              </w:rPr>
              <w:t>Kassen zahlen Cannabisblüten nicht mehr</w:t>
            </w:r>
            <w:r>
              <w:rPr>
                <w:noProof/>
                <w:webHidden/>
              </w:rPr>
              <w:tab/>
            </w:r>
            <w:r>
              <w:rPr>
                <w:noProof/>
                <w:webHidden/>
              </w:rPr>
              <w:fldChar w:fldCharType="begin"/>
            </w:r>
            <w:r>
              <w:rPr>
                <w:noProof/>
                <w:webHidden/>
              </w:rPr>
              <w:instrText xml:space="preserve"> PAGEREF _Toc241048507 \h </w:instrText>
            </w:r>
            <w:r>
              <w:rPr>
                <w:noProof/>
                <w:webHidden/>
              </w:rPr>
            </w:r>
            <w:r>
              <w:rPr>
                <w:noProof/>
                <w:webHidden/>
              </w:rPr>
              <w:fldChar w:fldCharType="separate"/>
            </w:r>
            <w:r>
              <w:rPr>
                <w:noProof/>
                <w:webHidden/>
              </w:rPr>
              <w:t>20</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8" w:history="1">
            <w:r w:rsidRPr="003537A9">
              <w:rPr>
                <w:rStyle w:val="Hyperlink"/>
                <w:noProof/>
              </w:rPr>
              <w:t>Zu wenig Bewegung</w:t>
            </w:r>
            <w:r>
              <w:rPr>
                <w:noProof/>
                <w:webHidden/>
              </w:rPr>
              <w:tab/>
            </w:r>
            <w:r>
              <w:rPr>
                <w:noProof/>
                <w:webHidden/>
              </w:rPr>
              <w:fldChar w:fldCharType="begin"/>
            </w:r>
            <w:r>
              <w:rPr>
                <w:noProof/>
                <w:webHidden/>
              </w:rPr>
              <w:instrText xml:space="preserve"> PAGEREF _Toc241048508 \h </w:instrText>
            </w:r>
            <w:r>
              <w:rPr>
                <w:noProof/>
                <w:webHidden/>
              </w:rPr>
            </w:r>
            <w:r>
              <w:rPr>
                <w:noProof/>
                <w:webHidden/>
              </w:rPr>
              <w:fldChar w:fldCharType="separate"/>
            </w:r>
            <w:r>
              <w:rPr>
                <w:noProof/>
                <w:webHidden/>
              </w:rPr>
              <w:t>21</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09" w:history="1">
            <w:r w:rsidRPr="003537A9">
              <w:rPr>
                <w:rStyle w:val="Hyperlink"/>
                <w:noProof/>
              </w:rPr>
              <w:t>Versorgungslücke befürchtet</w:t>
            </w:r>
            <w:r>
              <w:rPr>
                <w:noProof/>
                <w:webHidden/>
              </w:rPr>
              <w:tab/>
            </w:r>
            <w:r>
              <w:rPr>
                <w:noProof/>
                <w:webHidden/>
              </w:rPr>
              <w:fldChar w:fldCharType="begin"/>
            </w:r>
            <w:r>
              <w:rPr>
                <w:noProof/>
                <w:webHidden/>
              </w:rPr>
              <w:instrText xml:space="preserve"> PAGEREF _Toc241048509 \h </w:instrText>
            </w:r>
            <w:r>
              <w:rPr>
                <w:noProof/>
                <w:webHidden/>
              </w:rPr>
            </w:r>
            <w:r>
              <w:rPr>
                <w:noProof/>
                <w:webHidden/>
              </w:rPr>
              <w:fldChar w:fldCharType="separate"/>
            </w:r>
            <w:r>
              <w:rPr>
                <w:noProof/>
                <w:webHidden/>
              </w:rPr>
              <w:t>22</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0" w:history="1">
            <w:r w:rsidRPr="003537A9">
              <w:rPr>
                <w:rStyle w:val="Hyperlink"/>
                <w:noProof/>
              </w:rPr>
              <w:t>Erst zum Hausarzt und dann weiter</w:t>
            </w:r>
            <w:r>
              <w:rPr>
                <w:noProof/>
                <w:webHidden/>
              </w:rPr>
              <w:tab/>
            </w:r>
            <w:r>
              <w:rPr>
                <w:noProof/>
                <w:webHidden/>
              </w:rPr>
              <w:fldChar w:fldCharType="begin"/>
            </w:r>
            <w:r>
              <w:rPr>
                <w:noProof/>
                <w:webHidden/>
              </w:rPr>
              <w:instrText xml:space="preserve"> PAGEREF _Toc241048510 \h </w:instrText>
            </w:r>
            <w:r>
              <w:rPr>
                <w:noProof/>
                <w:webHidden/>
              </w:rPr>
            </w:r>
            <w:r>
              <w:rPr>
                <w:noProof/>
                <w:webHidden/>
              </w:rPr>
              <w:fldChar w:fldCharType="separate"/>
            </w:r>
            <w:r>
              <w:rPr>
                <w:noProof/>
                <w:webHidden/>
              </w:rPr>
              <w:t>23</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1" w:history="1">
            <w:r w:rsidRPr="003537A9">
              <w:rPr>
                <w:rStyle w:val="Hyperlink"/>
                <w:noProof/>
              </w:rPr>
              <w:t>Beitragserhöhung selbst im Blick behalten</w:t>
            </w:r>
            <w:r>
              <w:rPr>
                <w:noProof/>
                <w:webHidden/>
              </w:rPr>
              <w:tab/>
            </w:r>
            <w:r>
              <w:rPr>
                <w:noProof/>
                <w:webHidden/>
              </w:rPr>
              <w:fldChar w:fldCharType="begin"/>
            </w:r>
            <w:r>
              <w:rPr>
                <w:noProof/>
                <w:webHidden/>
              </w:rPr>
              <w:instrText xml:space="preserve"> PAGEREF _Toc241048511 \h </w:instrText>
            </w:r>
            <w:r>
              <w:rPr>
                <w:noProof/>
                <w:webHidden/>
              </w:rPr>
            </w:r>
            <w:r>
              <w:rPr>
                <w:noProof/>
                <w:webHidden/>
              </w:rPr>
              <w:fldChar w:fldCharType="separate"/>
            </w:r>
            <w:r>
              <w:rPr>
                <w:noProof/>
                <w:webHidden/>
              </w:rPr>
              <w:t>25</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2" w:history="1">
            <w:r w:rsidRPr="003537A9">
              <w:rPr>
                <w:rStyle w:val="Hyperlink"/>
                <w:noProof/>
              </w:rPr>
              <w:t>Zähneknirschen muss nicht zu Beschwerden führen</w:t>
            </w:r>
            <w:r>
              <w:rPr>
                <w:noProof/>
                <w:webHidden/>
              </w:rPr>
              <w:tab/>
            </w:r>
            <w:r>
              <w:rPr>
                <w:noProof/>
                <w:webHidden/>
              </w:rPr>
              <w:fldChar w:fldCharType="begin"/>
            </w:r>
            <w:r>
              <w:rPr>
                <w:noProof/>
                <w:webHidden/>
              </w:rPr>
              <w:instrText xml:space="preserve"> PAGEREF _Toc241048512 \h </w:instrText>
            </w:r>
            <w:r>
              <w:rPr>
                <w:noProof/>
                <w:webHidden/>
              </w:rPr>
            </w:r>
            <w:r>
              <w:rPr>
                <w:noProof/>
                <w:webHidden/>
              </w:rPr>
              <w:fldChar w:fldCharType="separate"/>
            </w:r>
            <w:r>
              <w:rPr>
                <w:noProof/>
                <w:webHidden/>
              </w:rPr>
              <w:t>26</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3" w:history="1">
            <w:r w:rsidRPr="003537A9">
              <w:rPr>
                <w:rStyle w:val="Hyperlink"/>
                <w:noProof/>
              </w:rPr>
              <w:t>Starke Muskeln, starke Knochen</w:t>
            </w:r>
            <w:r>
              <w:rPr>
                <w:noProof/>
                <w:webHidden/>
              </w:rPr>
              <w:tab/>
            </w:r>
            <w:r>
              <w:rPr>
                <w:noProof/>
                <w:webHidden/>
              </w:rPr>
              <w:fldChar w:fldCharType="begin"/>
            </w:r>
            <w:r>
              <w:rPr>
                <w:noProof/>
                <w:webHidden/>
              </w:rPr>
              <w:instrText xml:space="preserve"> PAGEREF _Toc241048513 \h </w:instrText>
            </w:r>
            <w:r>
              <w:rPr>
                <w:noProof/>
                <w:webHidden/>
              </w:rPr>
            </w:r>
            <w:r>
              <w:rPr>
                <w:noProof/>
                <w:webHidden/>
              </w:rPr>
              <w:fldChar w:fldCharType="separate"/>
            </w:r>
            <w:r>
              <w:rPr>
                <w:noProof/>
                <w:webHidden/>
              </w:rPr>
              <w:t>27</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4" w:history="1">
            <w:r w:rsidRPr="003537A9">
              <w:rPr>
                <w:rStyle w:val="Hyperlink"/>
                <w:noProof/>
              </w:rPr>
              <w:t>Vorsicht bei Mikrobiom-Selbsttests</w:t>
            </w:r>
            <w:r>
              <w:rPr>
                <w:noProof/>
                <w:webHidden/>
              </w:rPr>
              <w:tab/>
            </w:r>
            <w:r>
              <w:rPr>
                <w:noProof/>
                <w:webHidden/>
              </w:rPr>
              <w:fldChar w:fldCharType="begin"/>
            </w:r>
            <w:r>
              <w:rPr>
                <w:noProof/>
                <w:webHidden/>
              </w:rPr>
              <w:instrText xml:space="preserve"> PAGEREF _Toc241048514 \h </w:instrText>
            </w:r>
            <w:r>
              <w:rPr>
                <w:noProof/>
                <w:webHidden/>
              </w:rPr>
            </w:r>
            <w:r>
              <w:rPr>
                <w:noProof/>
                <w:webHidden/>
              </w:rPr>
              <w:fldChar w:fldCharType="separate"/>
            </w:r>
            <w:r>
              <w:rPr>
                <w:noProof/>
                <w:webHidden/>
              </w:rPr>
              <w:t>29</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5" w:history="1">
            <w:r w:rsidRPr="003537A9">
              <w:rPr>
                <w:rStyle w:val="Hyperlink"/>
                <w:noProof/>
              </w:rPr>
              <w:t>Ein Zehner für die Altersvorsorge</w:t>
            </w:r>
            <w:r>
              <w:rPr>
                <w:noProof/>
                <w:webHidden/>
              </w:rPr>
              <w:tab/>
            </w:r>
            <w:r>
              <w:rPr>
                <w:noProof/>
                <w:webHidden/>
              </w:rPr>
              <w:fldChar w:fldCharType="begin"/>
            </w:r>
            <w:r>
              <w:rPr>
                <w:noProof/>
                <w:webHidden/>
              </w:rPr>
              <w:instrText xml:space="preserve"> PAGEREF _Toc241048515 \h </w:instrText>
            </w:r>
            <w:r>
              <w:rPr>
                <w:noProof/>
                <w:webHidden/>
              </w:rPr>
            </w:r>
            <w:r>
              <w:rPr>
                <w:noProof/>
                <w:webHidden/>
              </w:rPr>
              <w:fldChar w:fldCharType="separate"/>
            </w:r>
            <w:r>
              <w:rPr>
                <w:noProof/>
                <w:webHidden/>
              </w:rPr>
              <w:t>29</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6" w:history="1">
            <w:r w:rsidRPr="003537A9">
              <w:rPr>
                <w:rStyle w:val="Hyperlink"/>
                <w:noProof/>
              </w:rPr>
              <w:t>Vorbilder, Verbündete und Konkurrenten</w:t>
            </w:r>
            <w:r>
              <w:rPr>
                <w:noProof/>
                <w:webHidden/>
              </w:rPr>
              <w:tab/>
            </w:r>
            <w:r>
              <w:rPr>
                <w:noProof/>
                <w:webHidden/>
              </w:rPr>
              <w:fldChar w:fldCharType="begin"/>
            </w:r>
            <w:r>
              <w:rPr>
                <w:noProof/>
                <w:webHidden/>
              </w:rPr>
              <w:instrText xml:space="preserve"> PAGEREF _Toc241048516 \h </w:instrText>
            </w:r>
            <w:r>
              <w:rPr>
                <w:noProof/>
                <w:webHidden/>
              </w:rPr>
            </w:r>
            <w:r>
              <w:rPr>
                <w:noProof/>
                <w:webHidden/>
              </w:rPr>
              <w:fldChar w:fldCharType="separate"/>
            </w:r>
            <w:r>
              <w:rPr>
                <w:noProof/>
                <w:webHidden/>
              </w:rPr>
              <w:t>31</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7" w:history="1">
            <w:r w:rsidRPr="003537A9">
              <w:rPr>
                <w:rStyle w:val="Hyperlink"/>
                <w:noProof/>
              </w:rPr>
              <w:t>Im Kopf läuft ein anderes Betriebssystem</w:t>
            </w:r>
            <w:r>
              <w:rPr>
                <w:noProof/>
                <w:webHidden/>
              </w:rPr>
              <w:tab/>
            </w:r>
            <w:r>
              <w:rPr>
                <w:noProof/>
                <w:webHidden/>
              </w:rPr>
              <w:fldChar w:fldCharType="begin"/>
            </w:r>
            <w:r>
              <w:rPr>
                <w:noProof/>
                <w:webHidden/>
              </w:rPr>
              <w:instrText xml:space="preserve"> PAGEREF _Toc241048517 \h </w:instrText>
            </w:r>
            <w:r>
              <w:rPr>
                <w:noProof/>
                <w:webHidden/>
              </w:rPr>
            </w:r>
            <w:r>
              <w:rPr>
                <w:noProof/>
                <w:webHidden/>
              </w:rPr>
              <w:fldChar w:fldCharType="separate"/>
            </w:r>
            <w:r>
              <w:rPr>
                <w:noProof/>
                <w:webHidden/>
              </w:rPr>
              <w:t>32</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8" w:history="1">
            <w:r w:rsidRPr="003537A9">
              <w:rPr>
                <w:rStyle w:val="Hyperlink"/>
                <w:noProof/>
              </w:rPr>
              <w:t>Digitale Kontrollen allein reichen nicht</w:t>
            </w:r>
            <w:r>
              <w:rPr>
                <w:noProof/>
                <w:webHidden/>
              </w:rPr>
              <w:tab/>
            </w:r>
            <w:r>
              <w:rPr>
                <w:noProof/>
                <w:webHidden/>
              </w:rPr>
              <w:fldChar w:fldCharType="begin"/>
            </w:r>
            <w:r>
              <w:rPr>
                <w:noProof/>
                <w:webHidden/>
              </w:rPr>
              <w:instrText xml:space="preserve"> PAGEREF _Toc241048518 \h </w:instrText>
            </w:r>
            <w:r>
              <w:rPr>
                <w:noProof/>
                <w:webHidden/>
              </w:rPr>
            </w:r>
            <w:r>
              <w:rPr>
                <w:noProof/>
                <w:webHidden/>
              </w:rPr>
              <w:fldChar w:fldCharType="separate"/>
            </w:r>
            <w:r>
              <w:rPr>
                <w:noProof/>
                <w:webHidden/>
              </w:rPr>
              <w:t>33</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19" w:history="1">
            <w:r w:rsidRPr="003537A9">
              <w:rPr>
                <w:rStyle w:val="Hyperlink"/>
                <w:noProof/>
              </w:rPr>
              <w:t>„miteinander“ im Oktober</w:t>
            </w:r>
            <w:r>
              <w:rPr>
                <w:noProof/>
                <w:webHidden/>
              </w:rPr>
              <w:tab/>
            </w:r>
            <w:r>
              <w:rPr>
                <w:noProof/>
                <w:webHidden/>
              </w:rPr>
              <w:fldChar w:fldCharType="begin"/>
            </w:r>
            <w:r>
              <w:rPr>
                <w:noProof/>
                <w:webHidden/>
              </w:rPr>
              <w:instrText xml:space="preserve"> PAGEREF _Toc241048519 \h </w:instrText>
            </w:r>
            <w:r>
              <w:rPr>
                <w:noProof/>
                <w:webHidden/>
              </w:rPr>
            </w:r>
            <w:r>
              <w:rPr>
                <w:noProof/>
                <w:webHidden/>
              </w:rPr>
              <w:fldChar w:fldCharType="separate"/>
            </w:r>
            <w:r>
              <w:rPr>
                <w:noProof/>
                <w:webHidden/>
              </w:rPr>
              <w:t>35</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0" w:history="1">
            <w:r w:rsidRPr="003537A9">
              <w:rPr>
                <w:rStyle w:val="Hyperlink"/>
                <w:noProof/>
              </w:rPr>
              <w:t>Aktuelle Filme auf VdK-TV</w:t>
            </w:r>
            <w:r>
              <w:rPr>
                <w:noProof/>
                <w:webHidden/>
              </w:rPr>
              <w:tab/>
            </w:r>
            <w:r>
              <w:rPr>
                <w:noProof/>
                <w:webHidden/>
              </w:rPr>
              <w:fldChar w:fldCharType="begin"/>
            </w:r>
            <w:r>
              <w:rPr>
                <w:noProof/>
                <w:webHidden/>
              </w:rPr>
              <w:instrText xml:space="preserve"> PAGEREF _Toc241048520 \h </w:instrText>
            </w:r>
            <w:r>
              <w:rPr>
                <w:noProof/>
                <w:webHidden/>
              </w:rPr>
            </w:r>
            <w:r>
              <w:rPr>
                <w:noProof/>
                <w:webHidden/>
              </w:rPr>
              <w:fldChar w:fldCharType="separate"/>
            </w:r>
            <w:r>
              <w:rPr>
                <w:noProof/>
                <w:webHidden/>
              </w:rPr>
              <w:t>35</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1" w:history="1">
            <w:r w:rsidRPr="003537A9">
              <w:rPr>
                <w:rStyle w:val="Hyperlink"/>
                <w:noProof/>
              </w:rPr>
              <w:t>Dem Fluss die Landschaft zurückgeben</w:t>
            </w:r>
            <w:r>
              <w:rPr>
                <w:noProof/>
                <w:webHidden/>
              </w:rPr>
              <w:tab/>
            </w:r>
            <w:r>
              <w:rPr>
                <w:noProof/>
                <w:webHidden/>
              </w:rPr>
              <w:fldChar w:fldCharType="begin"/>
            </w:r>
            <w:r>
              <w:rPr>
                <w:noProof/>
                <w:webHidden/>
              </w:rPr>
              <w:instrText xml:space="preserve"> PAGEREF _Toc241048521 \h </w:instrText>
            </w:r>
            <w:r>
              <w:rPr>
                <w:noProof/>
                <w:webHidden/>
              </w:rPr>
            </w:r>
            <w:r>
              <w:rPr>
                <w:noProof/>
                <w:webHidden/>
              </w:rPr>
              <w:fldChar w:fldCharType="separate"/>
            </w:r>
            <w:r>
              <w:rPr>
                <w:noProof/>
                <w:webHidden/>
              </w:rPr>
              <w:t>36</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2" w:history="1">
            <w:r w:rsidRPr="003537A9">
              <w:rPr>
                <w:rStyle w:val="Hyperlink"/>
                <w:noProof/>
              </w:rPr>
              <w:t>Das bringt der Oktober</w:t>
            </w:r>
            <w:r>
              <w:rPr>
                <w:noProof/>
                <w:webHidden/>
              </w:rPr>
              <w:tab/>
            </w:r>
            <w:r>
              <w:rPr>
                <w:noProof/>
                <w:webHidden/>
              </w:rPr>
              <w:fldChar w:fldCharType="begin"/>
            </w:r>
            <w:r>
              <w:rPr>
                <w:noProof/>
                <w:webHidden/>
              </w:rPr>
              <w:instrText xml:space="preserve"> PAGEREF _Toc241048522 \h </w:instrText>
            </w:r>
            <w:r>
              <w:rPr>
                <w:noProof/>
                <w:webHidden/>
              </w:rPr>
            </w:r>
            <w:r>
              <w:rPr>
                <w:noProof/>
                <w:webHidden/>
              </w:rPr>
              <w:fldChar w:fldCharType="separate"/>
            </w:r>
            <w:r>
              <w:rPr>
                <w:noProof/>
                <w:webHidden/>
              </w:rPr>
              <w:t>38</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3" w:history="1">
            <w:r w:rsidRPr="003537A9">
              <w:rPr>
                <w:rStyle w:val="Hyperlink"/>
                <w:noProof/>
              </w:rPr>
              <w:t>Einfach liegenlassen</w:t>
            </w:r>
            <w:r>
              <w:rPr>
                <w:noProof/>
                <w:webHidden/>
              </w:rPr>
              <w:tab/>
            </w:r>
            <w:r>
              <w:rPr>
                <w:noProof/>
                <w:webHidden/>
              </w:rPr>
              <w:fldChar w:fldCharType="begin"/>
            </w:r>
            <w:r>
              <w:rPr>
                <w:noProof/>
                <w:webHidden/>
              </w:rPr>
              <w:instrText xml:space="preserve"> PAGEREF _Toc241048523 \h </w:instrText>
            </w:r>
            <w:r>
              <w:rPr>
                <w:noProof/>
                <w:webHidden/>
              </w:rPr>
            </w:r>
            <w:r>
              <w:rPr>
                <w:noProof/>
                <w:webHidden/>
              </w:rPr>
              <w:fldChar w:fldCharType="separate"/>
            </w:r>
            <w:r>
              <w:rPr>
                <w:noProof/>
                <w:webHidden/>
              </w:rPr>
              <w:t>39</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4" w:history="1">
            <w:r w:rsidRPr="003537A9">
              <w:rPr>
                <w:rStyle w:val="Hyperlink"/>
                <w:noProof/>
              </w:rPr>
              <w:t>Ein Hitze-Sommer der Extreme</w:t>
            </w:r>
            <w:r>
              <w:rPr>
                <w:noProof/>
                <w:webHidden/>
              </w:rPr>
              <w:tab/>
            </w:r>
            <w:r>
              <w:rPr>
                <w:noProof/>
                <w:webHidden/>
              </w:rPr>
              <w:fldChar w:fldCharType="begin"/>
            </w:r>
            <w:r>
              <w:rPr>
                <w:noProof/>
                <w:webHidden/>
              </w:rPr>
              <w:instrText xml:space="preserve"> PAGEREF _Toc241048524 \h </w:instrText>
            </w:r>
            <w:r>
              <w:rPr>
                <w:noProof/>
                <w:webHidden/>
              </w:rPr>
            </w:r>
            <w:r>
              <w:rPr>
                <w:noProof/>
                <w:webHidden/>
              </w:rPr>
              <w:fldChar w:fldCharType="separate"/>
            </w:r>
            <w:r>
              <w:rPr>
                <w:noProof/>
                <w:webHidden/>
              </w:rPr>
              <w:t>39</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5" w:history="1">
            <w:r w:rsidRPr="003537A9">
              <w:rPr>
                <w:rStyle w:val="Hyperlink"/>
                <w:noProof/>
              </w:rPr>
              <w:t>Botox, Filler &amp; Co: Schönheitswahn im Alter</w:t>
            </w:r>
            <w:r>
              <w:rPr>
                <w:noProof/>
                <w:webHidden/>
              </w:rPr>
              <w:tab/>
            </w:r>
            <w:r>
              <w:rPr>
                <w:noProof/>
                <w:webHidden/>
              </w:rPr>
              <w:fldChar w:fldCharType="begin"/>
            </w:r>
            <w:r>
              <w:rPr>
                <w:noProof/>
                <w:webHidden/>
              </w:rPr>
              <w:instrText xml:space="preserve"> PAGEREF _Toc241048525 \h </w:instrText>
            </w:r>
            <w:r>
              <w:rPr>
                <w:noProof/>
                <w:webHidden/>
              </w:rPr>
            </w:r>
            <w:r>
              <w:rPr>
                <w:noProof/>
                <w:webHidden/>
              </w:rPr>
              <w:fldChar w:fldCharType="separate"/>
            </w:r>
            <w:r>
              <w:rPr>
                <w:noProof/>
                <w:webHidden/>
              </w:rPr>
              <w:t>42</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6" w:history="1">
            <w:r w:rsidRPr="003537A9">
              <w:rPr>
                <w:rStyle w:val="Hyperlink"/>
                <w:noProof/>
              </w:rPr>
              <w:t>Telekom stellt Telefonanschlüsse um</w:t>
            </w:r>
            <w:r>
              <w:rPr>
                <w:noProof/>
                <w:webHidden/>
              </w:rPr>
              <w:tab/>
            </w:r>
            <w:r>
              <w:rPr>
                <w:noProof/>
                <w:webHidden/>
              </w:rPr>
              <w:fldChar w:fldCharType="begin"/>
            </w:r>
            <w:r>
              <w:rPr>
                <w:noProof/>
                <w:webHidden/>
              </w:rPr>
              <w:instrText xml:space="preserve"> PAGEREF _Toc241048526 \h </w:instrText>
            </w:r>
            <w:r>
              <w:rPr>
                <w:noProof/>
                <w:webHidden/>
              </w:rPr>
            </w:r>
            <w:r>
              <w:rPr>
                <w:noProof/>
                <w:webHidden/>
              </w:rPr>
              <w:fldChar w:fldCharType="separate"/>
            </w:r>
            <w:r>
              <w:rPr>
                <w:noProof/>
                <w:webHidden/>
              </w:rPr>
              <w:t>43</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7" w:history="1">
            <w:r w:rsidRPr="003537A9">
              <w:rPr>
                <w:rStyle w:val="Hyperlink"/>
                <w:noProof/>
              </w:rPr>
              <w:t>Achtung bei einer Teilrente</w:t>
            </w:r>
            <w:r>
              <w:rPr>
                <w:noProof/>
                <w:webHidden/>
              </w:rPr>
              <w:tab/>
            </w:r>
            <w:r>
              <w:rPr>
                <w:noProof/>
                <w:webHidden/>
              </w:rPr>
              <w:fldChar w:fldCharType="begin"/>
            </w:r>
            <w:r>
              <w:rPr>
                <w:noProof/>
                <w:webHidden/>
              </w:rPr>
              <w:instrText xml:space="preserve"> PAGEREF _Toc241048527 \h </w:instrText>
            </w:r>
            <w:r>
              <w:rPr>
                <w:noProof/>
                <w:webHidden/>
              </w:rPr>
            </w:r>
            <w:r>
              <w:rPr>
                <w:noProof/>
                <w:webHidden/>
              </w:rPr>
              <w:fldChar w:fldCharType="separate"/>
            </w:r>
            <w:r>
              <w:rPr>
                <w:noProof/>
                <w:webHidden/>
              </w:rPr>
              <w:t>44</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8" w:history="1">
            <w:r w:rsidRPr="003537A9">
              <w:rPr>
                <w:rStyle w:val="Hyperlink"/>
                <w:noProof/>
              </w:rPr>
              <w:t>„Die Tanzstunde gibt mir Kraft für die Woche“</w:t>
            </w:r>
            <w:r>
              <w:rPr>
                <w:noProof/>
                <w:webHidden/>
              </w:rPr>
              <w:tab/>
            </w:r>
            <w:r>
              <w:rPr>
                <w:noProof/>
                <w:webHidden/>
              </w:rPr>
              <w:fldChar w:fldCharType="begin"/>
            </w:r>
            <w:r>
              <w:rPr>
                <w:noProof/>
                <w:webHidden/>
              </w:rPr>
              <w:instrText xml:space="preserve"> PAGEREF _Toc241048528 \h </w:instrText>
            </w:r>
            <w:r>
              <w:rPr>
                <w:noProof/>
                <w:webHidden/>
              </w:rPr>
            </w:r>
            <w:r>
              <w:rPr>
                <w:noProof/>
                <w:webHidden/>
              </w:rPr>
              <w:fldChar w:fldCharType="separate"/>
            </w:r>
            <w:r>
              <w:rPr>
                <w:noProof/>
                <w:webHidden/>
              </w:rPr>
              <w:t>45</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29" w:history="1">
            <w:r w:rsidRPr="003537A9">
              <w:rPr>
                <w:rStyle w:val="Hyperlink"/>
                <w:noProof/>
              </w:rPr>
              <w:t>Wieso denn „die Arschkarte ziehen“?</w:t>
            </w:r>
            <w:r>
              <w:rPr>
                <w:noProof/>
                <w:webHidden/>
              </w:rPr>
              <w:tab/>
            </w:r>
            <w:r>
              <w:rPr>
                <w:noProof/>
                <w:webHidden/>
              </w:rPr>
              <w:fldChar w:fldCharType="begin"/>
            </w:r>
            <w:r>
              <w:rPr>
                <w:noProof/>
                <w:webHidden/>
              </w:rPr>
              <w:instrText xml:space="preserve"> PAGEREF _Toc241048529 \h </w:instrText>
            </w:r>
            <w:r>
              <w:rPr>
                <w:noProof/>
                <w:webHidden/>
              </w:rPr>
            </w:r>
            <w:r>
              <w:rPr>
                <w:noProof/>
                <w:webHidden/>
              </w:rPr>
              <w:fldChar w:fldCharType="separate"/>
            </w:r>
            <w:r>
              <w:rPr>
                <w:noProof/>
                <w:webHidden/>
              </w:rPr>
              <w:t>47</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30" w:history="1">
            <w:r w:rsidRPr="003537A9">
              <w:rPr>
                <w:rStyle w:val="Hyperlink"/>
                <w:noProof/>
              </w:rPr>
              <w:t>Immer mehr essen unterwegs</w:t>
            </w:r>
            <w:r>
              <w:rPr>
                <w:noProof/>
                <w:webHidden/>
              </w:rPr>
              <w:tab/>
            </w:r>
            <w:r>
              <w:rPr>
                <w:noProof/>
                <w:webHidden/>
              </w:rPr>
              <w:fldChar w:fldCharType="begin"/>
            </w:r>
            <w:r>
              <w:rPr>
                <w:noProof/>
                <w:webHidden/>
              </w:rPr>
              <w:instrText xml:space="preserve"> PAGEREF _Toc241048530 \h </w:instrText>
            </w:r>
            <w:r>
              <w:rPr>
                <w:noProof/>
                <w:webHidden/>
              </w:rPr>
            </w:r>
            <w:r>
              <w:rPr>
                <w:noProof/>
                <w:webHidden/>
              </w:rPr>
              <w:fldChar w:fldCharType="separate"/>
            </w:r>
            <w:r>
              <w:rPr>
                <w:noProof/>
                <w:webHidden/>
              </w:rPr>
              <w:t>48</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31" w:history="1">
            <w:r w:rsidRPr="003537A9">
              <w:rPr>
                <w:rStyle w:val="Hyperlink"/>
                <w:noProof/>
              </w:rPr>
              <w:t>Chatbots sind kein Ersatz für Menschen</w:t>
            </w:r>
            <w:r>
              <w:rPr>
                <w:noProof/>
                <w:webHidden/>
              </w:rPr>
              <w:tab/>
            </w:r>
            <w:r>
              <w:rPr>
                <w:noProof/>
                <w:webHidden/>
              </w:rPr>
              <w:fldChar w:fldCharType="begin"/>
            </w:r>
            <w:r>
              <w:rPr>
                <w:noProof/>
                <w:webHidden/>
              </w:rPr>
              <w:instrText xml:space="preserve"> PAGEREF _Toc241048531 \h </w:instrText>
            </w:r>
            <w:r>
              <w:rPr>
                <w:noProof/>
                <w:webHidden/>
              </w:rPr>
            </w:r>
            <w:r>
              <w:rPr>
                <w:noProof/>
                <w:webHidden/>
              </w:rPr>
              <w:fldChar w:fldCharType="separate"/>
            </w:r>
            <w:r>
              <w:rPr>
                <w:noProof/>
                <w:webHidden/>
              </w:rPr>
              <w:t>49</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32" w:history="1">
            <w:r w:rsidRPr="003537A9">
              <w:rPr>
                <w:rStyle w:val="Hyperlink"/>
                <w:noProof/>
              </w:rPr>
              <w:t>Auch das Abdrehen kostet</w:t>
            </w:r>
            <w:r>
              <w:rPr>
                <w:noProof/>
                <w:webHidden/>
              </w:rPr>
              <w:tab/>
            </w:r>
            <w:r>
              <w:rPr>
                <w:noProof/>
                <w:webHidden/>
              </w:rPr>
              <w:fldChar w:fldCharType="begin"/>
            </w:r>
            <w:r>
              <w:rPr>
                <w:noProof/>
                <w:webHidden/>
              </w:rPr>
              <w:instrText xml:space="preserve"> PAGEREF _Toc241048532 \h </w:instrText>
            </w:r>
            <w:r>
              <w:rPr>
                <w:noProof/>
                <w:webHidden/>
              </w:rPr>
            </w:r>
            <w:r>
              <w:rPr>
                <w:noProof/>
                <w:webHidden/>
              </w:rPr>
              <w:fldChar w:fldCharType="separate"/>
            </w:r>
            <w:r>
              <w:rPr>
                <w:noProof/>
                <w:webHidden/>
              </w:rPr>
              <w:t>50</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33" w:history="1">
            <w:r w:rsidRPr="003537A9">
              <w:rPr>
                <w:rStyle w:val="Hyperlink"/>
                <w:noProof/>
              </w:rPr>
              <w:t>Jedes fünfte Auffahren ist fehlerhaft</w:t>
            </w:r>
            <w:r>
              <w:rPr>
                <w:noProof/>
                <w:webHidden/>
              </w:rPr>
              <w:tab/>
            </w:r>
            <w:r>
              <w:rPr>
                <w:noProof/>
                <w:webHidden/>
              </w:rPr>
              <w:fldChar w:fldCharType="begin"/>
            </w:r>
            <w:r>
              <w:rPr>
                <w:noProof/>
                <w:webHidden/>
              </w:rPr>
              <w:instrText xml:space="preserve"> PAGEREF _Toc241048533 \h </w:instrText>
            </w:r>
            <w:r>
              <w:rPr>
                <w:noProof/>
                <w:webHidden/>
              </w:rPr>
            </w:r>
            <w:r>
              <w:rPr>
                <w:noProof/>
                <w:webHidden/>
              </w:rPr>
              <w:fldChar w:fldCharType="separate"/>
            </w:r>
            <w:r>
              <w:rPr>
                <w:noProof/>
                <w:webHidden/>
              </w:rPr>
              <w:t>51</w:t>
            </w:r>
            <w:r>
              <w:rPr>
                <w:noProof/>
                <w:webHidden/>
              </w:rPr>
              <w:fldChar w:fldCharType="end"/>
            </w:r>
          </w:hyperlink>
        </w:p>
        <w:p w:rsidR="008F14E5" w:rsidRDefault="008F14E5">
          <w:pPr>
            <w:pStyle w:val="Verzeichnis1"/>
            <w:tabs>
              <w:tab w:val="right" w:leader="dot" w:pos="9062"/>
            </w:tabs>
            <w:rPr>
              <w:rFonts w:asciiTheme="minorHAnsi" w:eastAsiaTheme="minorEastAsia" w:hAnsiTheme="minorHAnsi" w:cstheme="minorBidi"/>
              <w:noProof/>
              <w:lang w:eastAsia="de-DE"/>
            </w:rPr>
          </w:pPr>
          <w:hyperlink w:anchor="_Toc241048534" w:history="1">
            <w:r w:rsidRPr="003537A9">
              <w:rPr>
                <w:rStyle w:val="Hyperlink"/>
                <w:noProof/>
              </w:rPr>
              <w:t>Spezialist für Bösewichte</w:t>
            </w:r>
            <w:r>
              <w:rPr>
                <w:noProof/>
                <w:webHidden/>
              </w:rPr>
              <w:tab/>
            </w:r>
            <w:r>
              <w:rPr>
                <w:noProof/>
                <w:webHidden/>
              </w:rPr>
              <w:fldChar w:fldCharType="begin"/>
            </w:r>
            <w:r>
              <w:rPr>
                <w:noProof/>
                <w:webHidden/>
              </w:rPr>
              <w:instrText xml:space="preserve"> PAGEREF _Toc241048534 \h </w:instrText>
            </w:r>
            <w:r>
              <w:rPr>
                <w:noProof/>
                <w:webHidden/>
              </w:rPr>
            </w:r>
            <w:r>
              <w:rPr>
                <w:noProof/>
                <w:webHidden/>
              </w:rPr>
              <w:fldChar w:fldCharType="separate"/>
            </w:r>
            <w:r>
              <w:rPr>
                <w:noProof/>
                <w:webHidden/>
              </w:rPr>
              <w:t>52</w:t>
            </w:r>
            <w:r>
              <w:rPr>
                <w:noProof/>
                <w:webHidden/>
              </w:rPr>
              <w:fldChar w:fldCharType="end"/>
            </w:r>
          </w:hyperlink>
        </w:p>
        <w:p w:rsidR="009A4B15" w:rsidRPr="009A4B15" w:rsidRDefault="00AA6B2B" w:rsidP="009A4B15">
          <w:pPr>
            <w:rPr>
              <w:b/>
            </w:rPr>
          </w:pPr>
          <w:r>
            <w:rPr>
              <w:b/>
              <w:bCs/>
              <w:noProof/>
            </w:rPr>
            <w:fldChar w:fldCharType="end"/>
          </w:r>
        </w:p>
      </w:sdtContent>
    </w:sdt>
    <w:p w:rsidR="00690F71" w:rsidRDefault="008F14E5">
      <w:pPr>
        <w:pStyle w:val="berschrift1"/>
      </w:pPr>
      <w:bookmarkStart w:id="1" w:name="_Toc241048491"/>
      <w:r>
        <w:t>„Sozialpolitik muss wieder Sicherheit schaffen“</w:t>
      </w:r>
      <w:bookmarkEnd w:id="1"/>
    </w:p>
    <w:p w:rsidR="00690F71" w:rsidRDefault="008F14E5">
      <w:pPr>
        <w:pStyle w:val="Standard-Fett"/>
      </w:pPr>
      <w:r>
        <w:t>VdK-Präsidentin fordert mehr soziale Gerechtigkeit von der Bundesregierung</w:t>
      </w:r>
    </w:p>
    <w:p w:rsidR="00690F71" w:rsidRDefault="008F14E5">
      <w:pPr>
        <w:pStyle w:val="Vorspann"/>
      </w:pPr>
      <w:r>
        <w:t>Der Sozialverband VdK kritisiert die Kürzungspolitik der Bundesregierung. VdK-Präsidentin Verena Be</w:t>
      </w:r>
      <w:r>
        <w:t xml:space="preserve">ntele fordert, die Weichen in der Sozialpolitik neu zu stellen. </w:t>
      </w:r>
    </w:p>
    <w:p w:rsidR="00690F71" w:rsidRDefault="008F14E5">
      <w:r>
        <w:t xml:space="preserve">Anlass für diesen Appell sind die Ergebnisse der Landtagswahlen im September, bei denen extremistische Parteien hohe Stimmenanteile gewonnen haben. Bentele erklärt: „Viele Menschen haben die </w:t>
      </w:r>
      <w:r>
        <w:t>Hoffnung verloren, dass ihre Zukunft sozial ausgewogen gestaltet wird. Bei Themen wie Rente, Gesundheitsversorgung, Pflege oder bei der Frage zum Zustand der öffentlichen Infrastruktur gelingt es der Bundesregierung nicht, überzeugende Antworten auf die al</w:t>
      </w:r>
      <w:r>
        <w:t>ltäglichen Sorgen der Menschen zu finden.“</w:t>
      </w:r>
    </w:p>
    <w:p w:rsidR="00690F71" w:rsidRDefault="008F14E5">
      <w:r>
        <w:t>Bentele verdeutlicht, wie sehr Bürgerinnen und Bürger, darunter viele VdK-Mitglieder, durch die geplanten Kürzungen im sozialen Bereich erheblich beeinträchtigt werden: „Nehmen wir eine Rentnerin, die gesundheitlich angeschlagen und auf Pflege angewiesen i</w:t>
      </w:r>
      <w:r>
        <w:t xml:space="preserve">st. Sie kann neben steigenden Zuzahlungen und höheren Beiträgen zur Krankenversicherung auch von einer </w:t>
      </w:r>
      <w:r>
        <w:lastRenderedPageBreak/>
        <w:t>Wohngeldkürzung betroffen sein. Gleichzeitig soll ihrer Enkelin, die eine Behinderung hat, die individuelle Schulbegleitung gestrichen werden. Zudem muss</w:t>
      </w:r>
      <w:r>
        <w:t xml:space="preserve">te das Schwimmbad, in das sie gerne gegangen sind, schließen.“ </w:t>
      </w:r>
    </w:p>
    <w:p w:rsidR="00690F71" w:rsidRDefault="008F14E5">
      <w:r>
        <w:t>An diesem alltäglichen Beispiel wird deutlich, wie sehr sich finanzielle Belastungen durch die derzeitige Kürzungspolitik summieren können. Daraus können erheblicher Frust und existenzielle Be</w:t>
      </w:r>
      <w:r>
        <w:t xml:space="preserve">drohungen bei vielen Betroffenen entstehen. </w:t>
      </w:r>
    </w:p>
    <w:p w:rsidR="00690F71" w:rsidRDefault="008F14E5">
      <w:r>
        <w:t>Bentele fordert: „Wer will, dass Wählerinnen und Wählern in eine handlungsfähige Regierung vertrauen, muss zeigen, dass sozialpolitische Maßnahmen wieder Sicherheit schaffen. Die politisch Verantwortlichen müsse</w:t>
      </w:r>
      <w:r>
        <w:t xml:space="preserve">n in den nächsten Monaten eine Politik vorlegen, die den Menschen wieder eine verlässliche Perspektive gibt.“ </w:t>
      </w:r>
      <w:r>
        <w:rPr>
          <w:b/>
        </w:rPr>
        <w:t>Julia Frediani</w:t>
      </w:r>
    </w:p>
    <w:p w:rsidR="00690F71" w:rsidRDefault="008F14E5">
      <w:pPr>
        <w:pStyle w:val="berschrift1"/>
      </w:pPr>
      <w:bookmarkStart w:id="2" w:name="_Toc241048492"/>
      <w:r>
        <w:t>Inklusion stärkt unsere Gesellschaft</w:t>
      </w:r>
      <w:bookmarkEnd w:id="2"/>
    </w:p>
    <w:p w:rsidR="00690F71" w:rsidRDefault="008F14E5">
      <w:pPr>
        <w:pStyle w:val="Standard-Fett"/>
      </w:pPr>
      <w:r>
        <w:t>Der Sozialverband VdK setzt sich für ein inklusives und solidarisches Miteinander ein</w:t>
      </w:r>
    </w:p>
    <w:p w:rsidR="00690F71" w:rsidRDefault="008F14E5">
      <w:pPr>
        <w:pStyle w:val="Vorspann"/>
      </w:pPr>
      <w:r>
        <w:t>Inklusio</w:t>
      </w:r>
      <w:r>
        <w:t xml:space="preserve">n ist ein Menschenrecht. Eine Gesellschaft, die alle Menschen – mit oder ohne Behinderung – mitdenkt, ist nicht nur gerechter, sondern auch innovativer, sozial stabiler und zudem auch wirtschaftlich erfolgreicher. </w:t>
      </w:r>
    </w:p>
    <w:p w:rsidR="00690F71" w:rsidRDefault="008F14E5">
      <w:r>
        <w:t>Für den Sozialverband VdK ist Inklusion k</w:t>
      </w:r>
      <w:r>
        <w:t xml:space="preserve">ein Modewort und keine Ideologie. Viele der 2,3 Millionen VdK-Mitglieder sind auf eine gleichberechtigte und selbstbestimmte Teilhabe im Alltag angewiesen und kämpfen für eine bessere Umsetzung. In Zeiten, in denen Ausgrenzung von Menschen offenbar wieder </w:t>
      </w:r>
      <w:r>
        <w:t xml:space="preserve">Teil von politischen Programmen ist, bezieht der VdK deutlich Stellung. VdK-Präsidentin Verena Bentele betont: „Inklusion nützt uns allen.“ </w:t>
      </w:r>
    </w:p>
    <w:p w:rsidR="00690F71" w:rsidRDefault="008F14E5">
      <w:r>
        <w:t>Immer häufiger werden Stimmen laut, dass Inklusion ein überflüssiger Luxus sei – zu aufwendig und zu teuer. Diese B</w:t>
      </w:r>
      <w:r>
        <w:t>ehauptung lässt sich leicht widerlegen. Ein Gebäude, das von Anfang an barrierefrei geplant wird, ist langfristig günstiger als andere Häuser, die später altersgerecht umgebaut werden müssen. Produkte, die barrierefrei und daher für alle nutzbar sind, erre</w:t>
      </w:r>
      <w:r>
        <w:t>ichen mehr Kundinnen und Kunden. Und eine Gesellschaft, die niemanden ausschließt und alle mitdenkt, ist gerechter, vielfältiger und widerstandsfähiger.</w:t>
      </w:r>
    </w:p>
    <w:p w:rsidR="00690F71" w:rsidRDefault="008F14E5">
      <w:r>
        <w:t xml:space="preserve">Weltweit leben 1,3 Milliarden Menschen mit einer Behinderung. Zusammen mit ihren Familien verfügen sie </w:t>
      </w:r>
      <w:r>
        <w:t>über eine enorme Kaufkraft. Auch am Arbeitsmarkt ist Inklusion ein nicht zu unterschätzender Wirtschaftsfaktor. Studien zeigen, dass eine bessere Beschäftigung von Menschen mit Behinderung das Bruttoinlandsprodukt nachweislich steigert, die Konsumnachfrage</w:t>
      </w:r>
      <w:r>
        <w:t xml:space="preserve"> ankurbelt und Investitionen stimuliert. Umgekehrt kostet der Ausschluss von Menschen mit Behinderungen aus dem Arbeitsmarkt Volkswirtschaften Milliarden an Euro. In der EU sind rund 9,2 Millionen Menschen im erwerbsfähigen Alter aufgrund von Behinderung n</w:t>
      </w:r>
      <w:r>
        <w:t xml:space="preserve">icht vollständig im Arbeitsmarkt integriert – ein enormes ungenutztes Potenzial. Unternehmen, </w:t>
      </w:r>
      <w:r>
        <w:lastRenderedPageBreak/>
        <w:t xml:space="preserve">die auf Barrierefreiheit und Inklusion setzen, erschließen sich damit einen riesigen Markt – und gewinnen dringend  benötigte Fachkräfte. </w:t>
      </w:r>
    </w:p>
    <w:p w:rsidR="00690F71" w:rsidRDefault="008F14E5">
      <w:r>
        <w:t>Inklusive Schulen förde</w:t>
      </w:r>
      <w:r>
        <w:t>rn nicht nur Kinder mit Behinderungen. Sie stärken soziale Kompetenzen, die Empathie und den Zusammenhalt aller Schülerinnen und Schüler. Zahlreiche Studien belegen: Inklusive Bildung führt zu besseren Lernergebnissen für alle. Und sie kann Kinder und Juge</w:t>
      </w:r>
      <w:r>
        <w:t>ndliche auf eine diverse Arbeitswelt vorbereiten. All diese Beispiele zeigen: Inklusion ist kein Luxus, sondern eine Notwendigkeit. Nicht ohne Grund sind die Rechte auf Teilhabe und Inklusion in der UN-Behindertenrechtskonvention (UN-BRK) als ein völkerrec</w:t>
      </w:r>
      <w:r>
        <w:t>htlich bindender Vertrag festgelegt. Deutschland hat die UN-BRK unterschrieben. Sie ist im Jahr 2009 in Kraft getreten.</w:t>
      </w:r>
    </w:p>
    <w:p w:rsidR="00690F71" w:rsidRDefault="008F14E5">
      <w:r>
        <w:t>Bentele warnt: „Wer Inklusion ablehnt, lehnt nicht nur die Rechte von Menschen mit Behinderung  ab. Er lehnt auch wirtschaftlichen Forts</w:t>
      </w:r>
      <w:r>
        <w:t>chritt, soziale Stabilität und ein solidarisches Miteinander für eine gute Zukunft ab. Unsere  2,3 Millionen Mitglieder wissen: Eine Gesellschaft, die alle mitdenkt, ist eine Gesellschaft, in der wir alle besser leben. Daher setzt sich der VdK aus Überzeug</w:t>
      </w:r>
      <w:r>
        <w:t xml:space="preserve">ung seit mehr als 75 Jahren für ein inklusives Miteinander ein.“ </w:t>
      </w:r>
      <w:r>
        <w:rPr>
          <w:b/>
        </w:rPr>
        <w:t>Julia Frediani</w:t>
      </w:r>
    </w:p>
    <w:p w:rsidR="00690F71" w:rsidRDefault="008F14E5">
      <w:pPr>
        <w:pStyle w:val="berschrift1"/>
      </w:pPr>
      <w:bookmarkStart w:id="3" w:name="_Toc241048493"/>
      <w:r>
        <w:t>Jüngere gehen kränker Richtung Rente</w:t>
      </w:r>
      <w:bookmarkEnd w:id="3"/>
    </w:p>
    <w:p w:rsidR="00690F71" w:rsidRDefault="008F14E5">
      <w:pPr>
        <w:pStyle w:val="Standard-Fett"/>
      </w:pPr>
      <w:r>
        <w:t>Studie: Gesundheit hält mit Anstieg der Lebensarbeitszeit nicht Schritt</w:t>
      </w:r>
    </w:p>
    <w:p w:rsidR="00690F71" w:rsidRDefault="008F14E5">
      <w:pPr>
        <w:pStyle w:val="Vorspann"/>
      </w:pPr>
      <w:r>
        <w:t>Die Lebenserwartung steigt, das Renteneintrittsalter soll ebenfalls</w:t>
      </w:r>
      <w:r>
        <w:t xml:space="preserve"> steigen. Doch eine Studie der Medizinischen Hochschule Hannover (MHH) zeigt: Künftige Generationen könnten das Rentenalter bei schlechterer Gesundheit erreichen. </w:t>
      </w:r>
    </w:p>
    <w:p w:rsidR="00690F71" w:rsidRDefault="008F14E5">
      <w:r>
        <w:t>Die Studie legt dar, dass die gesundheitliche Entwicklung vieler Menschen nicht mit dem Anst</w:t>
      </w:r>
      <w:r>
        <w:t>ieg der Lebensarbeitszeit Schritt hält. Zwischen 18 und 44 Jahren nehmen die Lebensjahre in guter Gesundheit während des Erwerbsalters ab. Muskel-Skelett-Erkrankungen treten der Studie zufolge häufiger und früher auf. Sie sind für einen erheblichen Teil de</w:t>
      </w:r>
      <w:r>
        <w:t xml:space="preserve">r Arbeitsunfähigkeitstage verantwortlich und begleiten Betroffene zunehmend über längere Phasen ihres Erwerbslebens. </w:t>
      </w:r>
    </w:p>
    <w:p w:rsidR="00690F71" w:rsidRDefault="008F14E5">
      <w:r>
        <w:t>Als mögliche Gründe für diese Entwicklung nennt Projektleiterin Dr. Juliane Tetzlaff unter anderem die steigende Zahl von Adipositas-Fälle</w:t>
      </w:r>
      <w:r>
        <w:t>n sowie belastende Veränderungen in der Arbeitswelt. Dazu zählen häufigere Arbeitsplatzwechsel, eine Verdichtung von Arbeitszeit sowie fehlende oder zu kurze Pausen.</w:t>
      </w:r>
    </w:p>
    <w:p w:rsidR="00690F71" w:rsidRDefault="008F14E5">
      <w:r>
        <w:t>Für die Übersichtsstudie werteten die Forschenden nationale und internationale Studien aus</w:t>
      </w:r>
      <w:r>
        <w:t xml:space="preserve"> und führten eigene Recherchen durch. Ergänzend analysierten sie Daten der AOK Niedersachsen. Betrachtet wurde der Zeitraum von 2005 bis 2018. Zu verschiedenen Zeitpunkten verglichen die Forschenden dabei Kohorten gleichen Alters miteinander. Das </w:t>
      </w:r>
      <w:r>
        <w:lastRenderedPageBreak/>
        <w:t>überrasch</w:t>
      </w:r>
      <w:r>
        <w:t xml:space="preserve">ende Ergebnis: Die über viele Jahre beobachtete Verbesserung des Gesundheitszustands älterer Menschen setzt sich bei später geborenen Generationen nicht fort. </w:t>
      </w:r>
    </w:p>
    <w:p w:rsidR="00690F71" w:rsidRDefault="008F14E5">
      <w:pPr>
        <w:pStyle w:val="Zwischentitel"/>
      </w:pPr>
      <w:r>
        <w:t>Sozialer Status</w:t>
      </w:r>
    </w:p>
    <w:p w:rsidR="00690F71" w:rsidRDefault="008F14E5">
      <w:r>
        <w:t>Deutlich wird zudem der Einfluss des sozialen Status. Menschen mit höherem Bildu</w:t>
      </w:r>
      <w:r>
        <w:t>ngsniveau profitieren zwischen dem 30. und 69. Lebensjahr von einer Zunahme gesunder Lebensjahre und können deutlich mehr Jahre in guter physischer und mentaler Gesundheit erwarten als jene mit niedrigeren Bildungsabschlüssen. Auch die berufliche Belastung</w:t>
      </w:r>
      <w:r>
        <w:t xml:space="preserve"> spielt eine Rolle. Erwerbstätige mit hoher körperlicher oder psychosozialer Belastung haben im Erwerbsalter weniger gesunde Jahre zu erwarten. </w:t>
      </w:r>
    </w:p>
    <w:p w:rsidR="00690F71" w:rsidRDefault="008F14E5">
      <w:r>
        <w:t>Die Studie zeigt, dass eine längere Lebenserwartung nicht automatisch mit mehr gesunden Lebensjahren einhergeht</w:t>
      </w:r>
      <w:r>
        <w:t>. Der Sozialverband VdK fordert, diese Erkenntnis bei der kommenden Rentenreform dringend zu berücksichtigen. „Das Renteneintrittsalter einfach an die Lebenserwartung zu koppeln, funktioniert nicht, wenn die Gesundheit nicht mitspielt. Statt längeres Arbei</w:t>
      </w:r>
      <w:r>
        <w:t xml:space="preserve">ten durch höhere Altersgrenzen zu erzwingen, geht es darum, durch eine gute Versorgung, Prävention und Reha längeres Arbeiten und möglichst viele gesunde Lebensjahre zu ermöglichen“, erklärt VdK-Präsidentin Verena Bentele.  </w:t>
      </w:r>
      <w:r>
        <w:rPr>
          <w:b/>
        </w:rPr>
        <w:t xml:space="preserve">Jörg Ciszewski </w:t>
      </w:r>
    </w:p>
    <w:p w:rsidR="00690F71" w:rsidRDefault="008F14E5">
      <w:pPr>
        <w:pStyle w:val="berschrift1"/>
      </w:pPr>
      <w:bookmarkStart w:id="4" w:name="_Toc241048494"/>
      <w:r>
        <w:t xml:space="preserve">Krankschreibung </w:t>
      </w:r>
      <w:r>
        <w:t>ab Tag eins</w:t>
      </w:r>
      <w:bookmarkEnd w:id="4"/>
    </w:p>
    <w:p w:rsidR="00690F71" w:rsidRDefault="008F14E5">
      <w:pPr>
        <w:pStyle w:val="Standard-Fett"/>
      </w:pPr>
      <w:r>
        <w:t>Umfrage: Missbrauch ist die Ausnahme – VdK warnt vor längeren Fehlzeiten</w:t>
      </w:r>
    </w:p>
    <w:p w:rsidR="00690F71" w:rsidRDefault="008F14E5">
      <w:pPr>
        <w:pStyle w:val="Vorspann"/>
      </w:pPr>
      <w:r>
        <w:t>Nach Plänen der Bundesregierung sollen Arbeitsunfähigkeitsbescheinigungen zukünftig ab dem ersten Krankheitstag beim Arbeitgeber vorliegen, um den Krankenstand zu senken u</w:t>
      </w:r>
      <w:r>
        <w:t xml:space="preserve">nd Missbrauch einzudämmen. Der Sozialverband VdK befürchtet einen gegenteiligen Effekt, wie die Ergebnisse einer repräsentativen YouGov-Umfrage im Auftrag des Verbands zeigen. </w:t>
      </w:r>
    </w:p>
    <w:p w:rsidR="00690F71" w:rsidRDefault="008F14E5">
      <w:r>
        <w:t>Diese widerlegt die Behauptung, dass sich Beschäftigte grundlos krankmelden. Vo</w:t>
      </w:r>
      <w:r>
        <w:t>n den insgesamt 2341 Befragten erklärten drei Prozent, schon einmal „blau gemacht“ zu haben. Dagegen gaben 73 Prozent an, sich nur dann krankgemeldet zu haben, wenn sie tatsächlich krank waren. Der Missbrauch von Krankmeldungen ist demnach die absolute Aus</w:t>
      </w:r>
      <w:r>
        <w:t>nahme.</w:t>
      </w:r>
    </w:p>
    <w:p w:rsidR="00690F71" w:rsidRDefault="008F14E5">
      <w:r>
        <w:t>Die geplante Attestpflicht ab dem ersten Krankheitstag könnte nach Einschätzung des VdK hingegen zu längeren Fehlzeiten führen. Zwar würden 60 Prozent der Befragten ihr Verhalten durch die neue Regelung nicht ändern. Aber 21 Prozent gaben an, sich v</w:t>
      </w:r>
      <w:r>
        <w:t>orsorglich länger krankschreiben zu lassen, um einen erneuten Arztbesuch zu vermeiden. Weitere 14 Prozent würden krank zur Arbeit gehen. „Beides ist problematisch: Es belastet die Beschäftigten und Betriebe und verschärft zugleich den Druck auf die ohnehin</w:t>
      </w:r>
      <w:r>
        <w:t xml:space="preserve"> überfüllten Arztpraxen“, kritisiert VdK-Präsidentin Verena Bentele.</w:t>
      </w:r>
    </w:p>
    <w:p w:rsidR="00690F71" w:rsidRDefault="008F14E5">
      <w:r>
        <w:lastRenderedPageBreak/>
        <w:t>Nach der geplanten Abschaffung der telefonischen Krankschreibung gefragt, lehnten diese 61 Prozent der Befragten ab, 29 Prozent befürworteten sie. Der VdK sieht das Vorhaben kritisch. „Wi</w:t>
      </w:r>
      <w:r>
        <w:t xml:space="preserve">r erwarten keine positiven Effekte auf die Höhe des Krankenstands“, erklärt Bentele. Nach aktuellen Zahlen des Zentralinstituts der Kassenärztlichen Bundesvereinigung erfolgen nur 0,8 bis 1,2 Prozent aller Krankschreibungen telefonisch. </w:t>
      </w:r>
    </w:p>
    <w:p w:rsidR="00690F71" w:rsidRDefault="008F14E5">
      <w:pPr>
        <w:pStyle w:val="Zwischentitel"/>
      </w:pPr>
      <w:r>
        <w:t>Länger erkrankt</w:t>
      </w:r>
    </w:p>
    <w:p w:rsidR="00690F71" w:rsidRDefault="008F14E5">
      <w:r>
        <w:t>Zu</w:t>
      </w:r>
      <w:r>
        <w:t xml:space="preserve">gleich verändert sich das Krankheitsgeschehen. Einer Analyse der DAK-Gesundheit zufolge sank der Krankenstand unter ihren Versicherten im ersten Halbjahr 2026 leicht auf 5,3 Prozent. Gleichzeitig stieg die durchschnittliche Dauer einer Krankschreibung auf </w:t>
      </w:r>
      <w:r>
        <w:t>9,7 Tage. Psychische Erkrankungen waren erstmals der häufigste Grund unter den Fehlzeiten und führen mit durchschnittlich 28 Fehltagen zu deutlich längeren Ausfallzeiten.</w:t>
      </w:r>
    </w:p>
    <w:p w:rsidR="00690F71" w:rsidRDefault="008F14E5">
      <w:r>
        <w:t>„Auf diese Veränderungen müssen wir mit passenden Angeboten reagieren. Statt Kranksch</w:t>
      </w:r>
      <w:r>
        <w:t>reibungen pauschal stärker zu reglementieren, brauchen die Menschen mehr Prävention und eine gute medizinische Versorgung, die sich an tatsächlichen Bedarfen orientiert. Wer Erkrankungen frühzeitig verhindert oder gezielt behandelt, kann langfristig dazu b</w:t>
      </w:r>
      <w:r>
        <w:t xml:space="preserve">eitragen, Fehlzeiten zu reduzieren“, sagt Bentele.  </w:t>
      </w:r>
      <w:r>
        <w:rPr>
          <w:b/>
        </w:rPr>
        <w:t>Kristin Enge</w:t>
      </w:r>
    </w:p>
    <w:p w:rsidR="00690F71" w:rsidRDefault="008F14E5">
      <w:pPr>
        <w:pStyle w:val="berschrift1"/>
      </w:pPr>
      <w:bookmarkStart w:id="5" w:name="_Toc241048495"/>
      <w:r>
        <w:t>Zentrale Fragen beraten</w:t>
      </w:r>
      <w:bookmarkEnd w:id="5"/>
    </w:p>
    <w:p w:rsidR="00690F71" w:rsidRDefault="008F14E5">
      <w:pPr>
        <w:pStyle w:val="Standard-Fett"/>
      </w:pPr>
      <w:r>
        <w:t>VdK entwickelt sozialpolitische Positionen weiter</w:t>
      </w:r>
    </w:p>
    <w:p w:rsidR="00690F71" w:rsidRDefault="008F14E5">
      <w:pPr>
        <w:pStyle w:val="Vorspann"/>
      </w:pPr>
      <w:r>
        <w:t>Die Mitglieder der Sozialpolitischen Kommission des Sozialverbands VdK trafen sich zu einer zweitägigen Sitzung in Be</w:t>
      </w:r>
      <w:r>
        <w:t>rlin. Dort berieten sie die zentralen sozialpolitischen Positionen des Verbands.</w:t>
      </w:r>
    </w:p>
    <w:p w:rsidR="00690F71" w:rsidRDefault="008F14E5">
      <w:r>
        <w:t>Horst Vöge, Vorsitzender der Kommission, begrüßte die rund 40 Teilnehmenden in der VdK-Bundesgeschäftsstelle. Er betonte die Bedeutung einer gemeinsamen und klaren sozialpolit</w:t>
      </w:r>
      <w:r>
        <w:t xml:space="preserve">ischen Ausrichtung für den Verband. „Aus meiner Sicht ist diese Sitzung eine der wichtigsten in der Arbeit der Sozialpolitischen Kommission. Hier werden die sozialpolitischen Beschlüsse für die Zukunft beraten. Diese sind die Grundlage dafür, dass der VdK </w:t>
      </w:r>
      <w:r>
        <w:t xml:space="preserve">politisch handlungsfähig bleibt“, so Vöge. </w:t>
      </w:r>
    </w:p>
    <w:p w:rsidR="00690F71" w:rsidRDefault="008F14E5">
      <w:r>
        <w:t>Die Kommission setzte sich intensiv mit aktuellen sozialpolitischen Herausforderungen auseinander und leitete konkrete Forderungen daraus ab. Im Mittelpunkt standen unter anderem die Themen Alterssicherung, Pfleg</w:t>
      </w:r>
      <w:r>
        <w:t xml:space="preserve">e, Gesundheit, Armut und Steuergerechtigkeit sowie die Belange von Menschen mit Behinderung. </w:t>
      </w:r>
    </w:p>
    <w:p w:rsidR="00690F71" w:rsidRDefault="008F14E5">
      <w:pPr>
        <w:pStyle w:val="Zwischentitel"/>
      </w:pPr>
      <w:r>
        <w:t>Politische Stoßrichtung</w:t>
      </w:r>
    </w:p>
    <w:p w:rsidR="00690F71" w:rsidRDefault="008F14E5">
      <w:r>
        <w:t xml:space="preserve">Die Grundpositionen bilden das sozialpolitische Fundament des VdK und geben für die jeweilige Legislatur die politische Stoßrichtung vor. </w:t>
      </w:r>
      <w:r>
        <w:t xml:space="preserve">Sie werden alle vier Jahre auf dem </w:t>
      </w:r>
      <w:r>
        <w:lastRenderedPageBreak/>
        <w:t>Bundesverbandstag von den Delegierten aus den VdK-Landesverbänden beschlossen. Die Beratungen in den Gremien sind Teil eines mehrstufigen Prozesses zur Vorbereitung des Bundesverbandstags. Ziel ist es, unterschiedliche Pe</w:t>
      </w:r>
      <w:r>
        <w:t xml:space="preserve">rspektiven und Erfahrungen zusammenzuführen und gemeinsame Positionen zu entwickeln. </w:t>
      </w:r>
    </w:p>
    <w:p w:rsidR="00690F71" w:rsidRDefault="008F14E5">
      <w:r>
        <w:t>Hierbei übernimmt die Sozialpolitische Kommission eine wichtige Rolle: Angesichts gesellschaftlicher und politischer Veränderungen entwickelt sie die Grundpositionen im I</w:t>
      </w:r>
      <w:r>
        <w:t xml:space="preserve">nteresse der Mitglieder weiter. Mit dem Treffen wurde ein wichtiger Schritt auf dem Weg zum Bundesverbandstag im kommenden Jahr gemacht. </w:t>
      </w:r>
      <w:r>
        <w:rPr>
          <w:b/>
        </w:rPr>
        <w:t>ken</w:t>
      </w:r>
    </w:p>
    <w:p w:rsidR="00690F71" w:rsidRDefault="008F14E5">
      <w:r>
        <w:t>Kommentar</w:t>
      </w:r>
    </w:p>
    <w:p w:rsidR="00690F71" w:rsidRDefault="008F14E5">
      <w:pPr>
        <w:pStyle w:val="berschrift1"/>
      </w:pPr>
      <w:bookmarkStart w:id="6" w:name="_Toc241048496"/>
      <w:r>
        <w:t>Tödliche Hitze</w:t>
      </w:r>
      <w:bookmarkEnd w:id="6"/>
    </w:p>
    <w:p w:rsidR="00690F71" w:rsidRDefault="008F14E5">
      <w:r>
        <w:t xml:space="preserve">41,7 Grad in Sachsen-Anhalt, tennisballgroße Hagelkörner südlich von Hamburg, Tornados in </w:t>
      </w:r>
      <w:r>
        <w:t>Hessen: Dieser Sommer mit Stürmen, Hitze und Starkregen wird in Erinnerung bleiben. Doch es sind nicht nur Wetterrekorde, Waldbrände und spektakuläre Unwetter, die alarmieren. Es sind die Folgen, die mitten in unserem Alltag angekommen sind.</w:t>
      </w:r>
    </w:p>
    <w:p w:rsidR="00690F71" w:rsidRDefault="008F14E5">
      <w:r>
        <w:t xml:space="preserve">Viele erleben </w:t>
      </w:r>
      <w:r>
        <w:t>das unmittelbar. Am Bodensee wurde einem Familienmitglied von mir innerhalb weniger Minuten ein Großteil der Weinernte verhagelt. Viele Landwirte mussten wegen der Trockenheit massive Ernteausfälle hinnehmen. Aus dem Münsterland berichten Mitglieder von üb</w:t>
      </w:r>
      <w:r>
        <w:t>erfluteten Straßen, zerstörten Gärten und vollgelaufenen Kellern – von Zuständen, die sie in 80 Jahren noch nie erlebt haben.</w:t>
      </w:r>
    </w:p>
    <w:p w:rsidR="00690F71" w:rsidRDefault="008F14E5">
      <w:r>
        <w:t>Besonders erschreckend ist die Gefahr für unsere Gesundheit. Nach Angaben des Robert Koch-Instituts starben bis September mehr als</w:t>
      </w:r>
      <w:r>
        <w:t xml:space="preserve"> 16 000 Menschen an den Folgen der Hitze. Drei Viertel von ihnen waren mindestens 75 Jahre alt, viele bereits vorerkrankt. Besonders gefährlich sind langanhaltende Hitzewellen: In Lörrach wurden an 56 Tagen mindestens 30 Grad gemessen.</w:t>
      </w:r>
    </w:p>
    <w:p w:rsidR="00690F71" w:rsidRDefault="008F14E5">
      <w:r>
        <w:t>Notärzte erleben, wa</w:t>
      </w:r>
      <w:r>
        <w:t>s diese Zahlen bedeuten: ältere Menschen, die allein in ihren Wohnungen liegen und kaum bemerken, wie sich Körper und Räume immer weiter aufheizen – bis sie kollabieren. Wenn selbst die Nächte keine Erholung bringen, wird Hitze zur tödlichen Falle.</w:t>
      </w:r>
    </w:p>
    <w:p w:rsidR="00690F71" w:rsidRDefault="008F14E5">
      <w:r>
        <w:t>Wer ang</w:t>
      </w:r>
      <w:r>
        <w:t>esichts dessen noch von einem „ganz normalen Sommer“ spricht, verdrängt die Realität. Der Klimawandel ist keine ferne Bedrohung. Er ist hier. Er vernichtet Ernten, zerstört Eigentum und kann Menschenleben kosten.</w:t>
      </w:r>
    </w:p>
    <w:p w:rsidR="00690F71" w:rsidRDefault="008F14E5">
      <w:r>
        <w:t>Deshalb dürfen wir nicht länger warten. Wir</w:t>
      </w:r>
      <w:r>
        <w:t xml:space="preserve"> brauchen freiwillige Hitzeregister, damit besonders gefährdete Menschen gezielt erreicht werden. Wir brauchen flächendeckende kommunale Hitzeaktionspläne und verbindliche Schutzkonzepte für Krankenhäuser, Pflegeeinrichtungen und andere Einrichtungen.</w:t>
      </w:r>
    </w:p>
    <w:p w:rsidR="00690F71" w:rsidRDefault="008F14E5">
      <w:r>
        <w:t>Denn</w:t>
      </w:r>
      <w:r>
        <w:t xml:space="preserve"> eines ist sicher: Der nächste Extrem-Sommer steht bereits vor der Tür. Die entscheidende Frage ist, wie gut wir dann darauf vorbereitet sind.</w:t>
      </w:r>
    </w:p>
    <w:p w:rsidR="00690F71" w:rsidRDefault="008F14E5">
      <w:pPr>
        <w:pStyle w:val="berschrift1"/>
      </w:pPr>
      <w:bookmarkStart w:id="7" w:name="_Toc241048497"/>
      <w:r>
        <w:lastRenderedPageBreak/>
        <w:t>Mit Hilfe geht es besser als alleine</w:t>
      </w:r>
      <w:bookmarkEnd w:id="7"/>
    </w:p>
    <w:p w:rsidR="00690F71" w:rsidRDefault="008F14E5">
      <w:pPr>
        <w:pStyle w:val="Standard-Fett"/>
      </w:pPr>
      <w:r>
        <w:t xml:space="preserve">Prof. Dr. Gabriele Wilz erforscht, wie individuelle psychotherapeutische </w:t>
      </w:r>
      <w:r>
        <w:t>Gespräche pflegenden Angehörigen helfen können</w:t>
      </w:r>
    </w:p>
    <w:p w:rsidR="00690F71" w:rsidRDefault="008F14E5">
      <w:pPr>
        <w:pStyle w:val="Vorspann"/>
      </w:pPr>
      <w:r>
        <w:t xml:space="preserve">Viele Angehörige kümmern sich jahrelang um eine pflegebedürftige Person. Sie unterstützen im Alltag, organisieren Arztbesuche und sind rund um die Uhr im Einsatz. Oft stehen sie noch im Berufsleben, haben </w:t>
      </w:r>
      <w:r>
        <w:t>selbst Kinder und weitere Verpflichtungen. Prof. Dr. Gabriele Wilz von der Universität Jena untersucht, wie man pflegende An- und Zugehörige entlasten kann.</w:t>
      </w:r>
    </w:p>
    <w:p w:rsidR="00690F71" w:rsidRDefault="008F14E5">
      <w:r>
        <w:t>Gabriele Wilz ist Professorin für Klinisch-psychologische Intervention und beschäftigt sich seit vi</w:t>
      </w:r>
      <w:r>
        <w:t>elen Jahren mit der Frage, was Angehörigen helfen kann, um mit den vielfältigen Belastungen des Pflegealltags zurechtzukommen. „Leider werden Hilfsangebote oft nicht in Anspruch genommen“, berichtet sie. Die meisten Pflegenden sind Frauen. Gerade die älter</w:t>
      </w:r>
      <w:r>
        <w:t>en unter ihnen wollen es alleine schaffen. Pflegesituationen sind jedoch oft schwer allein zu bewältigen.</w:t>
      </w:r>
    </w:p>
    <w:p w:rsidR="00690F71" w:rsidRDefault="008F14E5">
      <w:pPr>
        <w:pStyle w:val="Zwischentitel"/>
      </w:pPr>
      <w:r>
        <w:t>Angebote oft ungenutzt</w:t>
      </w:r>
    </w:p>
    <w:p w:rsidR="00690F71" w:rsidRDefault="008F14E5">
      <w:r>
        <w:t xml:space="preserve">Es gibt viele Gründe, warum Hilfsangebote oft nicht genutzt werden. Beispielsweise, weil man nicht ausreichend informiert ist, </w:t>
      </w:r>
      <w:r>
        <w:t xml:space="preserve">weil der zeitliche oder finanzielle Aufwand zu groß ist, weil man die pflegebedürftige Person allein versorgen möchte, weil man andere nicht belasten will, oder weil die oder der Pflegebedürftige das nicht möchte. </w:t>
      </w:r>
    </w:p>
    <w:p w:rsidR="00690F71" w:rsidRDefault="008F14E5">
      <w:r>
        <w:t>„In Gesprächen mit den Angehörigen versuc</w:t>
      </w:r>
      <w:r>
        <w:t>hen wir, diese individuellen Gründe zu klären und gemeinsam zu überlegen, inwiefern diese Einstellung hilfreich ist“, so die Expertin für Psychotherapie und Angehörigenforschung bei Demenz. „Aus Erfahrung können wir sagen, dass es für alle Beteiligten enor</w:t>
      </w:r>
      <w:r>
        <w:t>m hilfreich sein kann, verschiedene Formen von Unterstützung mit einzubeziehen.“</w:t>
      </w:r>
    </w:p>
    <w:p w:rsidR="00690F71" w:rsidRDefault="008F14E5">
      <w:r>
        <w:t>Insbesondere die Pflege eines Menschen mit Demenzerkrankung sei eine große Herausforderung, so die Professorin. Angehörige beobachten häufig Unruhe, Verunsicherung oder andere</w:t>
      </w:r>
      <w:r>
        <w:t xml:space="preserve"> starke emotionale Reaktionen bei den Betroffenen. „Gleichzeitig erleben sie tiefgreifende Veränderungen und Verluste. Das kann Sorgen, Trauer, Hilflosigkeit und Verzweiflung auslösen“, erklärt sie. Diese enorme Belastung kann die psychische und körperlich</w:t>
      </w:r>
      <w:r>
        <w:t>e Gesundheit sowie das Wohlbefinden deutlich beeinträchtigen.</w:t>
      </w:r>
    </w:p>
    <w:p w:rsidR="00690F71" w:rsidRDefault="008F14E5">
      <w:r>
        <w:t>Bei der Pflege einer Person mit Demenz sei es wichtig, sich frühzeitig Hilfe zu holen, Aufgaben und Verantwortung auf viele Schultern zu verteilen und für schwierige Situationen einen Plan zu ha</w:t>
      </w:r>
      <w:r>
        <w:t>ben. Im Mittelpunkt stehe die Frage, was die Pflegenden brauchen, um diese Situation langfristig bewältigen zu können. „Darauf gibt es unterschiedliche Antworten: Für die eine Person sind es regelmäßige freie Tage, für andere ist es Unterstützung durch Fre</w:t>
      </w:r>
      <w:r>
        <w:t xml:space="preserve">unde oder ein </w:t>
      </w:r>
      <w:r>
        <w:lastRenderedPageBreak/>
        <w:t>Hobby. Wieder andere benötigen professionelle Hilfen, etwa Tagespflege oder einen ehrenamtlichen Betreuungsdienst“, zählt Wilz auf.</w:t>
      </w:r>
    </w:p>
    <w:p w:rsidR="00690F71" w:rsidRDefault="008F14E5">
      <w:pPr>
        <w:pStyle w:val="Zwischentitel"/>
      </w:pPr>
      <w:r>
        <w:t>Hilfreiche Gespräche</w:t>
      </w:r>
    </w:p>
    <w:p w:rsidR="00690F71" w:rsidRDefault="008F14E5">
      <w:r>
        <w:t>Viele Angehörige berichteten, dass durch das intensive Kümmern wesentliche und wichtige D</w:t>
      </w:r>
      <w:r>
        <w:t>inge im Leben verloren gingen. Das könne die eigene Gesundheitsvorsorge sein, aber auch Momente der Verbundenheit mit der pflegebedürftigen Person oder Zeit mit den Kindern. Wilz ist überzeugt, dass psychotherapeutische Gespräche den Betroffenen helfen kön</w:t>
      </w:r>
      <w:r>
        <w:t>nen. Beraterinnen und Psychotherapeutinnen seien in der Lage, von außen auf die persönliche Situation zu sehen. „Sie kennen viele typische Belastungen und können erkennen, welche Unterstützung hilfreich sein kann“, so Wilz. Eine psychotherapeutische Unters</w:t>
      </w:r>
      <w:r>
        <w:t>tützung sei besonders präventiv wertvoll, weil sie den Pflegenden rechtzeitig bewusst macht, wenn sie Gefahr laufen, sich zu überfordern.</w:t>
      </w:r>
    </w:p>
    <w:p w:rsidR="00690F71" w:rsidRDefault="008F14E5">
      <w:r>
        <w:t>Um zu erforschen, wie ein solches präventives Angebot entlasten kann, hat Wilz mit ihrem Team und mehreren Konsortialp</w:t>
      </w:r>
      <w:r>
        <w:t>artnern das Projekt „AnDem-RoSe“ ins Leben gerufen. Die Abkürzung steht für „Ressourcenrealisierung und Selbsthilfe für Angehörige von Menschen mit Demenz“. Gefördert wird das Projekt durch den Innovationsfonds des gemeinsamen Bundesausschusses. Ziel ist e</w:t>
      </w:r>
      <w:r>
        <w:t xml:space="preserve">s, pflegende Angehörige von Menschen mit Demenz individuell zu unterstützen, sodass sie auf ihre Ressourcen und Selbsthilfepotenziale zurückgreifen können. </w:t>
      </w:r>
    </w:p>
    <w:p w:rsidR="00690F71" w:rsidRDefault="008F14E5">
      <w:r>
        <w:t>„Wir möchten mit der AnDem-RoSe-Studie frühzeitig über aufkommende Belastungen sprechen und gemeins</w:t>
      </w:r>
      <w:r>
        <w:t>am überlegen, wie diesen auf hilfreiche Weise begegnet werden kann“, erklärt Wilz. Das soll helfen, mit emotionalen Belastungen wie Niedergeschlagenheit, Trauer, Erschöpfung oder auch Reizbarkeit besser umzugehen. Häufig klagten Angehörige auch über weiter</w:t>
      </w:r>
      <w:r>
        <w:t xml:space="preserve">e Belastungen wie Schlafstörungen oder chronische Schmerzen. Die psychotherapeutischen Gespräche sollen Wege aufzeigen, wie man damit anders umgehen lernt.  </w:t>
      </w:r>
      <w:r>
        <w:rPr>
          <w:b/>
        </w:rPr>
        <w:t>Annette Liebmann</w:t>
      </w:r>
    </w:p>
    <w:p w:rsidR="00690F71" w:rsidRDefault="008F14E5">
      <w:pPr>
        <w:pStyle w:val="berschrift1"/>
      </w:pPr>
      <w:bookmarkStart w:id="8" w:name="_Toc241048498"/>
      <w:r>
        <w:t>Wichtige Auszeit von der Pflege daheim</w:t>
      </w:r>
      <w:bookmarkEnd w:id="8"/>
    </w:p>
    <w:p w:rsidR="00690F71" w:rsidRDefault="008F14E5">
      <w:pPr>
        <w:pStyle w:val="Standard-Fett"/>
      </w:pPr>
      <w:r>
        <w:t>Vorsorgekuren und Rehas für pflegende Angeh</w:t>
      </w:r>
      <w:r>
        <w:t xml:space="preserve">örige, Selbsthilfegruppen und vieles mehr </w:t>
      </w:r>
    </w:p>
    <w:p w:rsidR="00690F71" w:rsidRDefault="008F14E5">
      <w:pPr>
        <w:pStyle w:val="Vorspann"/>
      </w:pPr>
      <w:r>
        <w:t>Die Pflege eines nahestehenden Menschen kann sehr erfüllend sein, ist oft aber auch herausfordernd und anstrengend. Wer sich dafür entscheidet, sollte sich nicht nur um die pflegebedürftige Person kümmern, sondern</w:t>
      </w:r>
      <w:r>
        <w:t xml:space="preserve"> auch um sich selbst, um die hohe Belastung langfristig durchzuhalten. </w:t>
      </w:r>
    </w:p>
    <w:p w:rsidR="00690F71" w:rsidRDefault="008F14E5">
      <w:r>
        <w:lastRenderedPageBreak/>
        <w:t>Wer arbeitet, braucht Auszeiten, Erholung und soziale Kontakte. Doch genau das gönnen sich viele pflegende Angehörige nicht. Sie laufen damit Gefahr, sich zu überfordern, zu vereinsame</w:t>
      </w:r>
      <w:r>
        <w:t>n und selbst krank zu werden. Deshalb ist es für Pflegepersonen wichtig, zu regenerieren und von Zeit zu Zeit etwas Abstand zu gewinnen. Wie das gelingen kann:</w:t>
      </w:r>
    </w:p>
    <w:p w:rsidR="00690F71" w:rsidRDefault="008F14E5">
      <w:r>
        <w:t xml:space="preserve">• Leistungen der Pflegekasse: Pflegebedürftige ab Pflegegrad 2 haben pro Jahr Anspruch auf acht </w:t>
      </w:r>
      <w:r>
        <w:t>Wochen Kurzzeit- beziehungsweise Verhinderungspflege. Insgesamt steht ein Jahresbetrag von bis zu 3539 Euro zur Verfügung, der flexibel für beide Leistungen genutzt werden kann. Hinzu kommen Entlastungsleistungen beziehungsweise ab 2027 das Sozialraumbudge</w:t>
      </w:r>
      <w:r>
        <w:t>t.</w:t>
      </w:r>
    </w:p>
    <w:p w:rsidR="00690F71" w:rsidRDefault="008F14E5">
      <w:r>
        <w:t>• Prävention: Präventionsleistungen sind ausdrücklich dazu gedacht, Pflegebedürftigkeit zu vermeiden. Bei der Krankenkasse kann etwa eine sogenannte Vorsorgekur in einer entsprechenden Einrichtung beantragt werden. Dabei können Pflegende wieder neue Krä</w:t>
      </w:r>
      <w:r>
        <w:t>fte sammeln und bekommen hilfreiche Tipps an die Hand, um den Alltag besser zu bewältigen. Die Hausärztin oder der Hausarzt kann eine solche Maßnahme jederzeit verordnen. Ebenso bieten die Krankenkassen Präventionskurse an. Gesetzlich Versicherte können oh</w:t>
      </w:r>
      <w:r>
        <w:t xml:space="preserve">ne ärztliche Verordnung zweimal pro Jahr ein solches Angebot wahrnehmen. </w:t>
      </w:r>
    </w:p>
    <w:p w:rsidR="00690F71" w:rsidRDefault="008F14E5">
      <w:r>
        <w:t>• Reha: Eine medizinische Reha soll die Genesung nach einer Erkrankung fördern und dazu beitragen, verlorene Fähigkeiten wiederzuerlangen und vorhandene zu erhalten oder zu verbesser</w:t>
      </w:r>
      <w:r>
        <w:t xml:space="preserve">n. Dazu gehört beispielsweise Reha-Sport. Reha-Maßnahmen werden von der Hausärztin oder dem Hausarzt verordnet. </w:t>
      </w:r>
    </w:p>
    <w:p w:rsidR="00690F71" w:rsidRDefault="008F14E5">
      <w:r>
        <w:t>Es gibt auch Maßnahmen, die speziell für Pflegepersonen angeboten werden. In der Regel ist eine Reha alle vier Jahre möglich. In manchen Klinik</w:t>
      </w:r>
      <w:r>
        <w:t xml:space="preserve">en kann die oder der Pflegebedürftige mitaufgenommen werden, wenn die Pflege dort sichergestellt werden kann. </w:t>
      </w:r>
    </w:p>
    <w:p w:rsidR="00690F71" w:rsidRDefault="008F14E5">
      <w:r>
        <w:t>• Selbsthilfegruppen: Mit anderen Menschen ins Gespräch zu kommen, die in einer ähnlichen Lebenssituation sind, kann eine große Hilfe sein. Die P</w:t>
      </w:r>
      <w:r>
        <w:t xml:space="preserve">flegepersonen können sich darüber austauschen, wie sie ihren Alltag organisieren, welche Schwierigkeiten es gibt, und gemeinsam Lösungen besprechen – gerade auch im Umgang mit Ämtern und Behörden. </w:t>
      </w:r>
    </w:p>
    <w:p w:rsidR="00690F71" w:rsidRDefault="008F14E5">
      <w:r>
        <w:t>• Pflegekurse: Pflegekurse vermitteln praktische Tipps für</w:t>
      </w:r>
      <w:r>
        <w:t xml:space="preserve"> den Pflegealltag. Geschulte Fachkräfte informieren unter anderem über rückenschonendes Heben und Tragen und zu den Leistungen der Sozialversicherung. Anspruch auf einen Pflegekurs haben alle, die an der Pflege beteiligt sind. Mittlerweile gibt es solche A</w:t>
      </w:r>
      <w:r>
        <w:t>ngebote auch online. Wenn bei der Pflege spezielle Fragen auftreten, können Angehörige bei der Pflegekasse auch eine individuelle Schulung in Anspruch nehmen. Dabei kommt eine geschulte Fachkraft nach Hause und zeigt in der konkreten Situation, wie sich di</w:t>
      </w:r>
      <w:r>
        <w:t>e Pflege besser durchführen lässt.</w:t>
      </w:r>
    </w:p>
    <w:p w:rsidR="00690F71" w:rsidRDefault="008F14E5">
      <w:r>
        <w:t>• Angebote bei der Pflege von Menschen mit Demenz nutzen: Die Pflege von demenzerkrankten Menschen ist eine große Herausforderung. Angehörige sollten von Anfang an möglichst viel Entlastung suchen. Es gibt eine Vielzahl v</w:t>
      </w:r>
      <w:r>
        <w:t>on Angeboten, beispielsweise Schulungen, Betreuungsgruppen für Menschen mit Demenz sowie Gesprächsrunden und Themenabende für Pflegepersonen. Eine gute Anlaufstelle ist die Deutsche Alzheimer Gesellschaft. Auch die Krankenkassen haben Angebote.</w:t>
      </w:r>
    </w:p>
    <w:p w:rsidR="00690F71" w:rsidRDefault="008F14E5">
      <w:r>
        <w:t>Der VdK ber</w:t>
      </w:r>
      <w:r>
        <w:t xml:space="preserve">ät seine Mitglieder gerne in allen Fragen rund um die Pflege. Fragen Sie einfach in Ihrer Geschäftsstelle nach!  </w:t>
      </w:r>
      <w:r>
        <w:rPr>
          <w:b/>
        </w:rPr>
        <w:t>Annette Liebmann</w:t>
      </w:r>
    </w:p>
    <w:p w:rsidR="00690F71" w:rsidRDefault="008F14E5">
      <w:pPr>
        <w:pStyle w:val="berschrift1"/>
      </w:pPr>
      <w:bookmarkStart w:id="9" w:name="_Toc241048499"/>
      <w:r>
        <w:lastRenderedPageBreak/>
        <w:t>Renten-Debatte oft von Unkenntnis geprägt</w:t>
      </w:r>
      <w:bookmarkEnd w:id="9"/>
    </w:p>
    <w:p w:rsidR="00690F71" w:rsidRDefault="008F14E5">
      <w:pPr>
        <w:pStyle w:val="Standard-Fett"/>
      </w:pPr>
      <w:r>
        <w:t>Wer mit 63 Jahren in Rente geht, muss schon heute hohe Abschläge hinnehmen – Zahl de</w:t>
      </w:r>
      <w:r>
        <w:t>r Frühverrentungen ist gesunken</w:t>
      </w:r>
    </w:p>
    <w:p w:rsidR="00690F71" w:rsidRDefault="008F14E5">
      <w:pPr>
        <w:pStyle w:val="Vorspann"/>
      </w:pPr>
      <w:r>
        <w:t>Es vergeht kaum ein Tag, an dem die einen die sogenannte „Rente mit 63“ abschaffen und die anderen sie retten wollen. Kein Thema wird in der Rentenpolitik so erbittert diskutiert. Aber vielen ist scheinbar gar nicht bewusst,</w:t>
      </w:r>
      <w:r>
        <w:t xml:space="preserve"> worum es dabei geht. Eine faktenbasierte Debatte scheint dringend geboten.</w:t>
      </w:r>
    </w:p>
    <w:p w:rsidR="00690F71" w:rsidRDefault="008F14E5">
      <w:r>
        <w:t>Die Generation 55plus fragt sich, wann ihr wohlverdienter Ruhestand beginnt und ob sie ihn sich überhaupt leisten kann. Diese rentennahen Jahrgänge sind durch teils unsachliche Deb</w:t>
      </w:r>
      <w:r>
        <w:t>atten massiv verunsichert. Ein Blick auf die Fakten hilft: Wer 35 Versicherungsjahre vorweist, kann zwar weiter ab 63 Jahren in Rente gehen – aber mit erheblichen Abschlägen. Für den Jahrgang 1963 betragen diese 13,8 Prozent im Monat. Wer auf 45 Jahre Beit</w:t>
      </w:r>
      <w:r>
        <w:t>ragsjahre kommt und 1962 geboren wurde, kann ab dem 1. September 2026 abschlagsfrei in Rente gehen – nach 64 Jahren und acht Monaten.</w:t>
      </w:r>
    </w:p>
    <w:p w:rsidR="00690F71" w:rsidRDefault="008F14E5">
      <w:pPr>
        <w:pStyle w:val="Zwischentitel"/>
      </w:pPr>
      <w:r>
        <w:t>Abschläge drohen</w:t>
      </w:r>
    </w:p>
    <w:p w:rsidR="00690F71" w:rsidRDefault="008F14E5">
      <w:r>
        <w:t xml:space="preserve">„Die abschlagsfreie Rente mit 63 ist schon längst Vergangenheit“, macht VdK-Präsidentin Verena Bentele </w:t>
      </w:r>
      <w:r>
        <w:t>deutlich. „In der aktuellen Debatte geht es vielmehr um die Rente mit 65 und um die Frage, was auf die Menschen, die 1964 oder später geboren wurden, zukommt.“ Nach den Vorschlägen der Alterssicherungskommission könnten künftig auch bei einem Renteneintrit</w:t>
      </w:r>
      <w:r>
        <w:t>t mit 65 Jahren Abschläge von sieben Prozent oder mehr drohen.</w:t>
      </w:r>
    </w:p>
    <w:p w:rsidR="00690F71" w:rsidRDefault="008F14E5">
      <w:r>
        <w:t>Falsch ist die häufig gehörte Behauptung, Deutschland erlebe eine Welle der Frühverrentung. Die Zahlen zeichnen ein anderes Bild: Zwischen den Jahren 2010 und 2025 sank die Zahl der Frühverrent</w:t>
      </w:r>
      <w:r>
        <w:t>eten in der Altersgruppe von 60 Jahren bis zur Regelaltersgrenze von rund 1,3 Millionen auf 1,25 Millionen. Gleichzeitig vervielfachte sich die Zahl der sozialversicherungspflichtig Beschäftigten in dieser Gruppe von 1,2 auf 3,9 Millionen. Der Anteil der v</w:t>
      </w:r>
      <w:r>
        <w:t>orgezogenen Altersrenten sank von fast 28 Prozent auf rund 16 Prozent.</w:t>
      </w:r>
    </w:p>
    <w:p w:rsidR="00690F71" w:rsidRDefault="008F14E5">
      <w:r>
        <w:t>„Von einer Frühverrentungswelle kann angesichts dieser Entwicklung keine Rede sein“, sagt Bentele. „Wir sehen vielmehr einen starken Anstieg der Beschäftigung Älterer. Das ist ein wicht</w:t>
      </w:r>
      <w:r>
        <w:t>iger Beitrag zur Stabilisierung der Rentenkasse.“ Auch das Bild von der abschlagsfreien Rente als vor allem männliches Privileg greift zu kurz. Mehr als 45 Prozent der Menschen, die diese Rente Jahr für Jahr in Anspruch nehmen, sind Frauen. Insgesamt bezie</w:t>
      </w:r>
      <w:r>
        <w:t xml:space="preserve">hen bereits rund 1,2 Millionen Frauen diese Leistung. Zugleich liegt mehr als die Hälfte der neu bewilligten </w:t>
      </w:r>
      <w:r>
        <w:lastRenderedPageBreak/>
        <w:t xml:space="preserve">abschlagsfreien Renten unter 1450 Euro brutto. Für viele Beschäftigte stellt sich weniger die Frage, ob sie länger arbeiten wollen, sondern ob sie </w:t>
      </w:r>
      <w:r>
        <w:t xml:space="preserve">es überhaupt können. </w:t>
      </w:r>
    </w:p>
    <w:p w:rsidR="00690F71" w:rsidRDefault="008F14E5">
      <w:r>
        <w:t>Eine 55-jährige Krankenschwester, Altenpflegerin oder Verkäuferin muss damit rechnen, noch zehn Jahre oder länger arbeiten zu müssen – trotz körperlicher Belastungen und gesundheitlicher Probleme. „Längeres Arbeiten darf nicht einfach</w:t>
      </w:r>
      <w:r>
        <w:t xml:space="preserve"> erzwungen werden“, fordert Bentele. „Politik und Unternehmen müssen dafür sorgen, dass längeres Arbeiten überhaupt möglich wird.“ Gefragt seien altersgerechte Arbeitsplätze, flexible Arbeitszeitmodelle und bessere Chancen für ältere Arbeitslose. Denn währ</w:t>
      </w:r>
      <w:r>
        <w:t>end ältere Beschäftigte in Krisenzeiten über Altersteilzeit oder Abfindungen aus dem Arbeitsleben gedrängt würden, seien die Rückkehrchancen für ältere Arbeitslose oft gering.</w:t>
      </w:r>
    </w:p>
    <w:p w:rsidR="00690F71" w:rsidRDefault="008F14E5">
      <w:pPr>
        <w:pStyle w:val="Zwischentitel"/>
      </w:pPr>
      <w:r>
        <w:t>Gesund bis zur Rente</w:t>
      </w:r>
    </w:p>
    <w:p w:rsidR="00690F71" w:rsidRDefault="008F14E5">
      <w:r>
        <w:t>Auch die Rehabilitation müsse stärker in den Mittelpunkt de</w:t>
      </w:r>
      <w:r>
        <w:t>r Rentenpolitik rücken. Ein leistungsfähiges System der medizinischen und beruflichen Reha könne dazu beitragen, Menschen länger gesund und arbeitsfähig zu halten.„Wer die alternde Gesellschaft nur als Kostenfaktor betrachtet, wird der Realität nicht gerec</w:t>
      </w:r>
      <w:r>
        <w:t xml:space="preserve">ht“, sagt Bentele. „Die entscheidende Frage ist nicht nur, wann Menschen in Rente gehen. Es geht darum, wie wir ihnen ermöglichen, gesund bis zur Regelaltersgrenze zu arbeiten – und jene abzusichern, die das nicht schaffen.“  </w:t>
      </w:r>
      <w:r>
        <w:rPr>
          <w:b/>
        </w:rPr>
        <w:t>Jörg Ciszewski</w:t>
      </w:r>
    </w:p>
    <w:p w:rsidR="00690F71" w:rsidRDefault="008F14E5">
      <w:pPr>
        <w:pStyle w:val="berschrift1"/>
      </w:pPr>
      <w:bookmarkStart w:id="10" w:name="_Toc241048500"/>
      <w:r>
        <w:t>Mit vereinfacht</w:t>
      </w:r>
      <w:r>
        <w:t>en Anträgen gegen die Armut</w:t>
      </w:r>
      <w:bookmarkEnd w:id="10"/>
    </w:p>
    <w:p w:rsidR="00690F71" w:rsidRDefault="008F14E5">
      <w:pPr>
        <w:pStyle w:val="Standard-Fett"/>
      </w:pPr>
      <w:r>
        <w:t>Studie zur Bündelung von Grundsicherung, Wohngeld und Kinderzuschlag</w:t>
      </w:r>
    </w:p>
    <w:p w:rsidR="00690F71" w:rsidRDefault="008F14E5">
      <w:pPr>
        <w:pStyle w:val="Vorspann"/>
      </w:pPr>
      <w:r>
        <w:t>Zur Bekämpfung von Armut spricht sich der AWO-Bundesverband für eine Zusammenlegung zentraler Sozialleistungen aus. Gleichzeitig soll die Aufnahme einer sozial</w:t>
      </w:r>
      <w:r>
        <w:t>versicherungspflichtigen Beschäftigung stärker gefördert werden. Davon könnten insbesondere Alleinerziehende profitieren.</w:t>
      </w:r>
    </w:p>
    <w:p w:rsidR="00690F71" w:rsidRDefault="008F14E5">
      <w:r>
        <w:t>Das Ifo-Institut hat im Auftrag des Bundesverbands der Arbeiterwohlfahrt (AWO) untersucht, welche Folgen eine Zusammenlegung von Grund</w:t>
      </w:r>
      <w:r>
        <w:t>sicherung, Kinderzuschlag und Wohngeld hätte. Die Studie kommt zu einem Zeitpunkt, an dem sich auch das Bundesministerium für Arbeit und Soziales intensiv mit einer Reform beschäftigt. Und sie greift zentrale Empfehlungen der vom Ministerium eingesetzten F</w:t>
      </w:r>
      <w:r>
        <w:t>achkommission auf, die den Sozialstaat leichter zugänglich machen will.</w:t>
      </w:r>
    </w:p>
    <w:p w:rsidR="00690F71" w:rsidRDefault="008F14E5">
      <w:r>
        <w:lastRenderedPageBreak/>
        <w:t>Nach den Berechnungen des Ifo-Instituts hätte eine Bündelung positive Effekte: Das Armutsrisiko könnte sinken und die Integration in Beschäftigung gestärkt werden. Entscheidend ist den</w:t>
      </w:r>
      <w:r>
        <w:t xml:space="preserve"> Studienautoren zufolge jedoch die konkrete Ausgestaltung. Anders als von der Sozialstaatskommission empfohlen, soll es nach den Vorstellungen der AWO keine Verschlechterungen bei der Einkommensanrechnung geben. Stattdessen schlägt das Ifo-Institut einen „</w:t>
      </w:r>
      <w:r>
        <w:t>Erwerbsbooster“ vor, der sozialversicherungspflichtige Beschäftigung gezielt attraktiver macht. Konkret soll jede Person im Leistungsbezug, die durch eine Arbeitsaufnahme ein Erwerbseinkommen oberhalb der Minijob-Grenze erzielt, einen Bonus von 100 Euro er</w:t>
      </w:r>
      <w:r>
        <w:t xml:space="preserve">halten. Für Alleinerziehende ist zusätzlich ein Freibetrag vorgesehen. </w:t>
      </w:r>
    </w:p>
    <w:p w:rsidR="00690F71" w:rsidRDefault="008F14E5">
      <w:pPr>
        <w:pStyle w:val="Zwischentitel"/>
      </w:pPr>
      <w:r>
        <w:t>Mehr Beschäftigung</w:t>
      </w:r>
    </w:p>
    <w:p w:rsidR="00690F71" w:rsidRDefault="008F14E5">
      <w:r>
        <w:t>Den Berechnungen der Studie zufolge hätten die untersten Einkommensgruppen durch die vorgeschlagene Reform im Schnitt bis zu 515 Euro mehr im Jahr zur Verfügung. Die</w:t>
      </w:r>
      <w:r>
        <w:t xml:space="preserve"> Armutsgefährdungsquote könnte um 0,9 Prozentpunkte sinken, rund 322 000 Menschen könnten Arbeitslosigkeit überwinden. Die Reform würde den Staat voraussichtlich 5,4 Milliarden Euro jährlich kosten. Zur Gegenfinanzierung schlägt der AWO-Experte Lukas Hochs</w:t>
      </w:r>
      <w:r>
        <w:t>cheidt vor, die Besserstellung für wohlhabende Familien über Steuerfreibeträge für Betreuung, Erziehung und Ausbildung gegenüber dem Kindergeld abzubauen. Das würde rund drei Milliarden Euro einsparen.</w:t>
      </w:r>
    </w:p>
    <w:p w:rsidR="00690F71" w:rsidRDefault="008F14E5">
      <w:r>
        <w:t>Auch der Sozialverband VdK sieht in der Studie einen w</w:t>
      </w:r>
      <w:r>
        <w:t>ichtigen Hinweis: „Nachhaltige Armutsbekämpfung braucht zunächst Investitionen in Unterstützung und Eingliederung“, sagt VdK-Präsidentin Verena Bentele und warnt deshalb vor Kürzungen: „Wer die Menschen dauerhaft aus ihrer Hilfebedürftigkeit herausholen wi</w:t>
      </w:r>
      <w:r>
        <w:t xml:space="preserve">ll, muss zunächst investieren. Langfristig zahlt sich das aus.“ </w:t>
      </w:r>
    </w:p>
    <w:p w:rsidR="00690F71" w:rsidRDefault="008F14E5">
      <w:r>
        <w:rPr>
          <w:b/>
        </w:rPr>
        <w:t>Jörg Ciszewski</w:t>
      </w:r>
    </w:p>
    <w:p w:rsidR="00690F71" w:rsidRDefault="008F14E5">
      <w:pPr>
        <w:pStyle w:val="berschrift1"/>
      </w:pPr>
      <w:bookmarkStart w:id="11" w:name="_Toc241048501"/>
      <w:r>
        <w:t>Weniger Geld für KfW-Programm</w:t>
      </w:r>
      <w:bookmarkEnd w:id="11"/>
    </w:p>
    <w:p w:rsidR="00690F71" w:rsidRDefault="008F14E5">
      <w:pPr>
        <w:pStyle w:val="Standard-Fett"/>
      </w:pPr>
      <w:r>
        <w:t>„Altersgerecht Umbauen“: VdK kritisiert Kürzungen</w:t>
      </w:r>
    </w:p>
    <w:p w:rsidR="00690F71" w:rsidRDefault="008F14E5">
      <w:pPr>
        <w:pStyle w:val="Vorspann"/>
      </w:pPr>
      <w:r>
        <w:t>Das Förderprogramm der KfW mit dem Titel „Altersgerecht Umbauen – Barrierereduzierung“ ist aktue</w:t>
      </w:r>
      <w:r>
        <w:t xml:space="preserve">ll wieder ausgeschöpft, weil die bereitgestellten Mittel bereits Ende Juli aufgebraucht waren. Der Sozialverband VdK kritisiert, dass bei dem Programm künftig gekürzt werden soll, obwohl es dafür einen großen Bedarf gibt. </w:t>
      </w:r>
    </w:p>
    <w:p w:rsidR="00690F71" w:rsidRDefault="008F14E5">
      <w:r>
        <w:t>Bundesfinanzminister Lars Klingbe</w:t>
      </w:r>
      <w:r>
        <w:t>il hat alle Ministerien zu Kürzungen aufgerufen. Allein im Etat des Bauressorts sollen mehr als eine Milliarde Euro gespart werden. Vom Rotstift bedroht ist auch das Programm „Altersgerecht Umbauen“ der staatlichen Förderbank KfW, obwohl der Bedarf und die</w:t>
      </w:r>
      <w:r>
        <w:t xml:space="preserve"> Nachfrage riesig sind. </w:t>
      </w:r>
    </w:p>
    <w:p w:rsidR="00690F71" w:rsidRDefault="008F14E5">
      <w:r>
        <w:lastRenderedPageBreak/>
        <w:t>Für VdK-Präsidentin Verena Bentele wäre eine Kürzung völlig unverständlich. „Bis zu 6250 Euro können Eigentümer und Mieter mit dem Programm für einen barrierearmen Umbau erhalten. Seit April hatte der Bund insgesamt 50 Millionen Euro zur Verfügung gestellt</w:t>
      </w:r>
      <w:r>
        <w:t>. Es gibt nun allerdings einen Antragsstopp, weil die Fördergelder bereits seit Juli ausgeschöpft sind.“ Trotzdem plant das Bundesbauministerium, die Förderung im kommenden Jahr auf sechs Millionen und im Jahr 2028 auf nur 1,5 Millionen Euro zu kürzen. Die</w:t>
      </w:r>
      <w:r>
        <w:t>s sei das faktische Aus eines erfolgreichen Programms, kritisiert Bentele. Aus Sicht des VdK ist das Programm ein ganz zentrales Instrument, um bestehenden Wohnraum barrierefrei umzubauen und damit ein selbstbestimmtes Leben im Alter oder mit Behinderung z</w:t>
      </w:r>
      <w:r>
        <w:t xml:space="preserve">u ermöglichen. Hunderttausende geförderte Wohneinheiten in den vergangenen Jahren belegen den großen Bedarf und den nachhaltigen Nutzen dieses Programms. </w:t>
      </w:r>
    </w:p>
    <w:p w:rsidR="00690F71" w:rsidRDefault="008F14E5">
      <w:r>
        <w:t>„Angesichts des demografischen Wandels und eines massiven Mangels von mehr als drei Millionen barrier</w:t>
      </w:r>
      <w:r>
        <w:t xml:space="preserve">efreier Wohnungen braucht es statt einer Kürzung vielmehr eine deutliche Aufstockung der Mittel“, so Bentele. Nach Einschätzung des VdK ist ein Fördervolumen von mindestens 390 Millionen Euro erforderlich, um den tatsächlichen Bedarf zu decken.  </w:t>
      </w:r>
      <w:r>
        <w:rPr>
          <w:b/>
        </w:rPr>
        <w:t>cis</w:t>
      </w:r>
    </w:p>
    <w:p w:rsidR="00690F71" w:rsidRDefault="008F14E5">
      <w:pPr>
        <w:pStyle w:val="berschrift1"/>
      </w:pPr>
      <w:bookmarkStart w:id="12" w:name="_Toc241048502"/>
      <w:r>
        <w:t>VdK ve</w:t>
      </w:r>
      <w:r>
        <w:t>rhilft Mitglied zum entscheidenden GdB</w:t>
      </w:r>
      <w:bookmarkEnd w:id="12"/>
    </w:p>
    <w:p w:rsidR="00690F71" w:rsidRDefault="008F14E5">
      <w:pPr>
        <w:pStyle w:val="Standard-Fett"/>
      </w:pPr>
      <w:r>
        <w:t>Sozialrechtsvertreterin setzt sich erfolgreich für eine Frau ein, die wegen eines Unfalls schwerbehindert ist</w:t>
      </w:r>
    </w:p>
    <w:p w:rsidR="00690F71" w:rsidRDefault="008F14E5">
      <w:pPr>
        <w:pStyle w:val="Vorspann"/>
      </w:pPr>
      <w:r>
        <w:t>Eine Frau aus Mittelfranken hat sich bei einem Treppensturz sehr schwer verletzt. Dauerhafte körperliche Be</w:t>
      </w:r>
      <w:r>
        <w:t>schwerden sind die Folge. Durch den Einsatz des VdK wurde ihre Schwerbehinderung nun behördlich anerkannt und ihr ein Merkzeichen zugesprochen, das sie finanziell entlastet.</w:t>
      </w:r>
    </w:p>
    <w:p w:rsidR="00690F71" w:rsidRDefault="008F14E5">
      <w:r>
        <w:t>Susanne Meisinger* aus dem Großraum Nürnberg hat schon öfter das Treppenhaus benut</w:t>
      </w:r>
      <w:r>
        <w:t>zt, um zur Praxis ihres Augenarztes zu kommen. Doch im vergangenen September ist sie auf den Stufen so schwer gestürzt, dass sie wohl dauerhaft darunter leiden wird. Sie kam aus der Praxis, als sie auf der Treppe ausrutschte, die Kontrolle verlor und mit v</w:t>
      </w:r>
      <w:r>
        <w:t>oller Wucht auf den Hinterkopf fiel. Sie war sofort ohnmächtig, und als sie in der Klinik aufwachte, spürte sie ihre Beine nicht mehr. Meisinger dachte, sie sei querschnittsgelähmt. Für sie war das ein Schock.</w:t>
      </w:r>
    </w:p>
    <w:p w:rsidR="00690F71" w:rsidRDefault="008F14E5">
      <w:pPr>
        <w:pStyle w:val="Zwischentitel"/>
      </w:pPr>
      <w:r>
        <w:t>Lähmung und Zittern</w:t>
      </w:r>
    </w:p>
    <w:p w:rsidR="00690F71" w:rsidRDefault="008F14E5">
      <w:r>
        <w:t>Doch nach einigen Tagen sp</w:t>
      </w:r>
      <w:r>
        <w:t xml:space="preserve">ürte sie die Beine wieder. Zum Glück waren die Nerven nur vorübergehend außer Gefecht. Nach der Erstbehandlung in der Klinik kam Susanne Meisinger in eine Rehaklinik. Dort wurde sie dank der Therapien wieder einigermaßen mobilisiert. Geblieben </w:t>
      </w:r>
      <w:r>
        <w:lastRenderedPageBreak/>
        <w:t>ist leider e</w:t>
      </w:r>
      <w:r>
        <w:t>ine Lähmung in der Hand. Außerdem hat Meisinger ein stark zitterndes Bein, was das Gehen erheblich einschränkt.</w:t>
      </w:r>
    </w:p>
    <w:p w:rsidR="00690F71" w:rsidRDefault="008F14E5">
      <w:r>
        <w:t>Bei einem Vortrag in der Rehabilitationsklinik hörte sie vom Sozialverband VdK. Sie trat bei und ließ sich gleich für ihren Antrag eines Schwerb</w:t>
      </w:r>
      <w:r>
        <w:t xml:space="preserve">ehindertenausweises von der Kreisgeschäftsstelle Ansbach beraten. Das zuständige Zentrum Bayern Familie und Soziales (ZBFS) gewährte Meisinger daraufhin einen GdB von 30. Nach ihrer eigenen Einschätzung und der des Teams des VdK Bayern war dies allerdings </w:t>
      </w:r>
      <w:r>
        <w:t>zu wenig. Mit Unterstützung der Sozialrechtsberatung legte sie Widerspruch ein. Nachdem dieser erfolglos blieb, zog das Mitglied vor das Sozialgericht in Nürnberg. Ellen Lawrenz von der VdK-Bezirksgeschäftsstelle Mittelfranken formulierte die Klageschrift.</w:t>
      </w:r>
    </w:p>
    <w:p w:rsidR="00690F71" w:rsidRDefault="008F14E5">
      <w:r>
        <w:t xml:space="preserve">Die Richterin bestellte einen medizinischen Gutachter, der sich unmittelbar vor dem Verhandlungstermin ein unabhängiges Bild von Susanne Meisingers Gesundheitszustand machte. Dieses sogenannte Termingutachten belegte eindeutig, unter welch massiven </w:t>
      </w:r>
      <w:r>
        <w:t xml:space="preserve">medizinischen Folgen das VdK-Mitglied leidet. Die Sozialrichterin wies den Juristen des ZBFS gleich zu Beginn der Verhandlung auf diese Aussagen hin und schlug ihm vor, den Grad der Behinderung rückwirkend zum Antragsdatum von 30 auf 50 hochzustufen sowie </w:t>
      </w:r>
      <w:r>
        <w:t>das Merkzeichen G für gehbehindert zu gewähren.</w:t>
      </w:r>
    </w:p>
    <w:p w:rsidR="00690F71" w:rsidRDefault="008F14E5">
      <w:pPr>
        <w:pStyle w:val="Zwischentitel"/>
      </w:pPr>
      <w:r>
        <w:t>„Voller Erfolg“</w:t>
      </w:r>
    </w:p>
    <w:p w:rsidR="00690F71" w:rsidRDefault="008F14E5">
      <w:r>
        <w:t>Der Jurist konnte dem nicht widersprechen und gab ein Anerkenntnis ab. Das heißt, das ZBFS räumte gerichtlich eine Niederlage ein, änderte den Bescheid entsprechend und trug die Verfahrenskost</w:t>
      </w:r>
      <w:r>
        <w:t>en. Strahlend verließ Susanne Meisinger den Gerichtssaal.</w:t>
      </w:r>
    </w:p>
    <w:p w:rsidR="00690F71" w:rsidRDefault="008F14E5">
      <w:r>
        <w:t>VdK-Sozialrechtsvertreterin Ellen Lawrenz freute sich mit ihr und sprach von einem „vollen Erfolg“. Sie war bereits zuversichtlich in das Gerichtsverfahren gegangen. Denn die Versorgungsmedizin-Vero</w:t>
      </w:r>
      <w:r>
        <w:t>rdnung sieht bei derartigen körperlichen Einschränkungen entsprechende Einstufungen vor, erklärt sie.</w:t>
      </w:r>
    </w:p>
    <w:p w:rsidR="00690F71" w:rsidRDefault="008F14E5">
      <w:r>
        <w:t>Für Susanne Meisinger war dieser Erfolg ein erster wichtiger Schritt, der ihr nicht nur zusätzliche Urlaubstage und steuerliche Entlastungen bringt. Ihr A</w:t>
      </w:r>
      <w:r>
        <w:t xml:space="preserve">rbeitgeber würde außerdem eine mögliche behindertengerechte Umgestaltung des Arbeitsplatzes bezahlt bekommen. Jetzt hofft Meisinger noch auf Schadenersatz. Denn es gab im Treppenhaus keine Warnhinweise, dass kurz vor ihrem Sturz geputzt worden war und sie </w:t>
      </w:r>
      <w:r>
        <w:t xml:space="preserve">deswegen auf den glatten Stufen ausrutschte. </w:t>
      </w:r>
      <w:r>
        <w:rPr>
          <w:b/>
        </w:rPr>
        <w:t>Sebastian Heise</w:t>
      </w:r>
    </w:p>
    <w:p w:rsidR="00690F71" w:rsidRDefault="008F14E5">
      <w:r>
        <w:t>*Name von der Redaktion geändert</w:t>
      </w:r>
    </w:p>
    <w:p w:rsidR="00690F71" w:rsidRDefault="008F14E5">
      <w:pPr>
        <w:pStyle w:val="berschrift1"/>
      </w:pPr>
      <w:bookmarkStart w:id="13" w:name="_Toc241048503"/>
      <w:r>
        <w:t>Reha für Schmerzpatienten erstritten</w:t>
      </w:r>
      <w:bookmarkEnd w:id="13"/>
    </w:p>
    <w:p w:rsidR="00690F71" w:rsidRDefault="008F14E5">
      <w:pPr>
        <w:pStyle w:val="Standard-Fett"/>
      </w:pPr>
      <w:r>
        <w:t xml:space="preserve">VdK widerspricht erfolgreich der Ablehnung durch die Rentenversicherung </w:t>
      </w:r>
    </w:p>
    <w:p w:rsidR="00690F71" w:rsidRDefault="008F14E5">
      <w:pPr>
        <w:pStyle w:val="Vorspann"/>
      </w:pPr>
      <w:r>
        <w:lastRenderedPageBreak/>
        <w:t>Der VdK Niedersachsen-Bremen hat für ein Mitglied mi</w:t>
      </w:r>
      <w:r>
        <w:t>t schweren Bandscheibenproblemen eine fünfwöchige Reha durchgesetzt. Nur zwei Wochen nach dem VdK-​Widerspruch hatte die Rentenversicherung ihre Ablehnung zurückgenommen.</w:t>
      </w:r>
    </w:p>
    <w:p w:rsidR="00690F71" w:rsidRDefault="008F14E5">
      <w:r>
        <w:t>Marcel C.* leidet seit Jahren unter chronischen Schmerzen. Ursache ist der fortschrei</w:t>
      </w:r>
      <w:r>
        <w:t xml:space="preserve">tende Verschleiß seiner Bandscheiben. Da der 54-jährige Verwaltungswirt nie körperlich schwer gearbeitet hat, vermuten die Ärzte eine genetische Veranlagung. Die Beschwerden haben bereits mehrere Operationen notwendig gemacht. </w:t>
      </w:r>
    </w:p>
    <w:p w:rsidR="00690F71" w:rsidRDefault="008F14E5">
      <w:r>
        <w:t>Im Jahr 2012 erhielt er sein</w:t>
      </w:r>
      <w:r>
        <w:t>e erste Bandscheibenprothese im Halswirbelbereich, inzwischen sind zwei weitere hinzugekommen. Insgesamt trägt er heute drei Prothesen in der Halswirbelsäule. Auch an der Lendenwirbelsäule musste er bereits operiert werden.</w:t>
      </w:r>
    </w:p>
    <w:p w:rsidR="00690F71" w:rsidRDefault="008F14E5">
      <w:pPr>
        <w:pStyle w:val="Zwischentitel"/>
      </w:pPr>
      <w:r>
        <w:t>Anhaltende Schmerzen</w:t>
      </w:r>
    </w:p>
    <w:p w:rsidR="00690F71" w:rsidRDefault="008F14E5">
      <w:r>
        <w:t>Wegen der a</w:t>
      </w:r>
      <w:r>
        <w:t>nhaltenden Beschwerden wurde ihm 2019 ein Neurostimulator am unteren Rücken implantiert. Das Gerät sendet elektrische Impulse und kann dadurch die Weiterleitung von Schmerzsignalen beeinflussen. Dies brachte eine deutliche Linderung, sodass er starke Schme</w:t>
      </w:r>
      <w:r>
        <w:t>rzmittel absetzen konnte. Dennoch leidet Marcel C. immer wieder unter Rückenschmerzen. Das Bücken fällt ihm schwer, seine Schuhe kann er nur im Sitzen zubinden.</w:t>
      </w:r>
    </w:p>
    <w:p w:rsidR="00690F71" w:rsidRDefault="008F14E5">
      <w:r>
        <w:t>Seit 2017 absolvierte er fünf Reha-Maßnahmen, die ihm jedes Mal zuvor von der Rentenversicherun</w:t>
      </w:r>
      <w:r>
        <w:t>g angeboten worden waren. Auch im Alltag geht er zweimal wöchentlich zur Physiotherapie und nimmt an einer Sportgruppe teil. „Ich merke, dass mir die Behandlungen und die Bewegung unheimlich guttun“, sagt er.</w:t>
      </w:r>
    </w:p>
    <w:p w:rsidR="00690F71" w:rsidRDefault="008F14E5">
      <w:r>
        <w:t xml:space="preserve">Als die Rentenversicherung im vergangenen Jahr </w:t>
      </w:r>
      <w:r>
        <w:t>erstmals keine Reha-Maßnahme anbot, stellte er selbst einen Antrag. Nach nur einer Woche erhielt er überraschend eine Absage. Begründung: Seine Erwerbsfähigkeit sei nicht mehr ausreichend gefährdet. Offenbar hatte er in den vergangenen Jahren zu wenige Kra</w:t>
      </w:r>
      <w:r>
        <w:t xml:space="preserve">nkschreibungen vorzuweisen. </w:t>
      </w:r>
    </w:p>
    <w:p w:rsidR="00690F71" w:rsidRDefault="008F14E5">
      <w:r>
        <w:t>Dass er seltener krank ausgefallen ist, hängt wiederum auch mit seinen Arbeitsbedingungen zusammen. Denn die Kommunalverwaltung, bei der er beschäftigt ist, ermöglicht ihm einen leidensgerechten Arbeitsplatz mit höhenverstellba</w:t>
      </w:r>
      <w:r>
        <w:t xml:space="preserve">rem Schreibtisch, flexibler Arbeitsorganisation und Homeoffice. Marcel C. arbeitet gerne und versucht alles, um seine Erwerbsfähigkeit zu erhalten. Dazu gehört für ihn auch die regelmäßige Reha. </w:t>
      </w:r>
    </w:p>
    <w:p w:rsidR="00690F71" w:rsidRDefault="008F14E5">
      <w:r>
        <w:t xml:space="preserve">Um der Ablehnung seines Antrags zu widersprechen, wandte er </w:t>
      </w:r>
      <w:r>
        <w:t>sich an VdK-Juristin Claudia Hilscher-Meinert vom VdK Hameln. Die Rechtsberaterin machte in ihrem Schreiben an die Rentenversicherung deutlich, dass bei dem Mitglied weiterhin eine erhebliche Gefährdung der Erwerbsfähigkeit vorliegt – und daher die Reha-Le</w:t>
      </w:r>
      <w:r>
        <w:t xml:space="preserve">istungen erforderlich sind. Von der Rentenversicherung vorgeschlagene ambulante Möglichkeiten habe er bereits ausgeschöpft, ohne dauerhaften Erfolg. </w:t>
      </w:r>
    </w:p>
    <w:p w:rsidR="00690F71" w:rsidRDefault="008F14E5">
      <w:r>
        <w:t>Dann ging es plötzlich ganz schnell. Zwei Wochen nach dem Widerspruch schickte die Rentenversicherung eine</w:t>
      </w:r>
      <w:r>
        <w:t xml:space="preserve">n Abhilfebescheid. Marcel C. kann nun im Dezember seine fünfwöchige Reha antreten. „Ich bin froh, dass der VdK das so schnell klären konnte“, sagt der 54-Jährige zufrieden. </w:t>
      </w:r>
    </w:p>
    <w:p w:rsidR="00690F71" w:rsidRDefault="008F14E5">
      <w:r>
        <w:rPr>
          <w:b/>
        </w:rPr>
        <w:t>Jörg Ciszewski</w:t>
      </w:r>
    </w:p>
    <w:p w:rsidR="00690F71" w:rsidRDefault="008F14E5">
      <w:r>
        <w:rPr>
          <w:b/>
        </w:rPr>
        <w:lastRenderedPageBreak/>
        <w:t>*Name ist der Redaktion bekannt</w:t>
      </w:r>
    </w:p>
    <w:p w:rsidR="00690F71" w:rsidRDefault="008F14E5">
      <w:pPr>
        <w:pStyle w:val="berschrift1"/>
      </w:pPr>
      <w:bookmarkStart w:id="14" w:name="_Toc241048504"/>
      <w:r>
        <w:t>Alternative zur Pflegebox</w:t>
      </w:r>
      <w:bookmarkEnd w:id="14"/>
    </w:p>
    <w:p w:rsidR="00690F71" w:rsidRDefault="008F14E5">
      <w:pPr>
        <w:pStyle w:val="Standard-Fett"/>
      </w:pPr>
      <w:r>
        <w:t>Pflegehil</w:t>
      </w:r>
      <w:r>
        <w:t>fsmittel zum Verbrauch direkt mit der Pflegekasse abrechnen</w:t>
      </w:r>
    </w:p>
    <w:p w:rsidR="00690F71" w:rsidRDefault="008F14E5">
      <w:pPr>
        <w:pStyle w:val="Vorspann"/>
      </w:pPr>
      <w:r>
        <w:t>Menschen mit Pflegegrad 1 oder höher haben Anspruch auf Pflegehilfsmittel zum Verbrauch im Wert von 42 Euro monatlich. Viele Unternehmen stellen Pflegeboxen zusammen – doch darunter gibt es auch u</w:t>
      </w:r>
      <w:r>
        <w:t>nseriöse Anbieter.</w:t>
      </w:r>
    </w:p>
    <w:p w:rsidR="00690F71" w:rsidRDefault="008F14E5">
      <w:r>
        <w:t xml:space="preserve">Pflegehilfsmittel zum Verbrauch sind beispielsweise Einmalhandschuhe, Desinfektionsmittel und Bettschutzeinlagen. Die monatliche Pauschale muss bei der Pflegekasse beantragt werden. Eine Zuzahlung fällt nicht an. </w:t>
      </w:r>
    </w:p>
    <w:p w:rsidR="00690F71" w:rsidRDefault="008F14E5">
      <w:r>
        <w:t xml:space="preserve">Die Anbieter von Boxen </w:t>
      </w:r>
      <w:r>
        <w:t>werben mit einer unkomplizierten Bestellung und der bequemen Lieferung nach Hause. Antragstellung und Abrechnung werden übernommen. Dazu muss eine Abtretungserklärung unterschrieben werden. Mit diesem Service treffen die Firmen eine Marktlücke: Wer zu Haus</w:t>
      </w:r>
      <w:r>
        <w:t>e eine pflegebedürftige Person versorgt, hat meist nur wenig Zeit, sich um andere Sachen zu kümmern.</w:t>
      </w:r>
    </w:p>
    <w:p w:rsidR="00690F71" w:rsidRDefault="008F14E5">
      <w:r>
        <w:t>Allerdings haben die Kundinnen und Kunden nur wenig Einfluss auf das, was sie dann tatsächlich zugeschickt bekommen – und können die Produkte womöglich nic</w:t>
      </w:r>
      <w:r>
        <w:t xml:space="preserve">ht brauchen. Manche Anbieter versenden auch minderwertige Ware, oder der Warenwert der Box liegt unter 42 Euro. </w:t>
      </w:r>
    </w:p>
    <w:p w:rsidR="00690F71" w:rsidRDefault="008F14E5">
      <w:r>
        <w:t>Es geht auch anders: Pflegebedürftige beziehungsweise deren Angehörige können die Pflegehilfsmittel zum Verbrauch selbst besorgen, beispielswei</w:t>
      </w:r>
      <w:r>
        <w:t>se in der Apotheke, im Drogeriemarkt oder im Sanitätshaus. Im Anschluss reichen sie die Kassenbons gesammelt bei der Pflegekasse ein. Das bedeutet zwar mehr organisatorischen Aufwand, und man muss das Geld erst vorstrecken, aber dafür hat man die Gewisshei</w:t>
      </w:r>
      <w:r>
        <w:t xml:space="preserve">t, dass nur die benötigten Pflegehilfsmittel angeschafft und verbraucht werden. </w:t>
      </w:r>
    </w:p>
    <w:p w:rsidR="00690F71" w:rsidRDefault="008F14E5">
      <w:pPr>
        <w:pStyle w:val="Zwischentitel"/>
      </w:pPr>
      <w:r>
        <w:t>Einmaliger Antrag</w:t>
      </w:r>
    </w:p>
    <w:p w:rsidR="00690F71" w:rsidRDefault="008F14E5">
      <w:r>
        <w:t>Wichtig ist, vor dem ersten Kauf einmalig eine Kostenübernahme bei der Pflegekasse zu beantragen. Das kann über ein Formular geschehen, das auf der Webseite der jeweiligen Pflegekasse zum Download bereitsteht, oder als formloses Schreiben per Post oder E-M</w:t>
      </w:r>
      <w:r>
        <w:t xml:space="preserve">ail. </w:t>
      </w:r>
    </w:p>
    <w:p w:rsidR="00690F71" w:rsidRDefault="008F14E5">
      <w:r>
        <w:t>Die Rechnungen werden monatlich mit einem Begleitblatt eingereicht, auf dem Versichertennummer und Bankverbindung angegeben sind. Die Kassenzettel sollten die genauen Produktbezeichnungen aufführen und werden beigefügt. Die Unterlagen schickt man per</w:t>
      </w:r>
      <w:r>
        <w:t xml:space="preserve"> Post an </w:t>
      </w:r>
      <w:r>
        <w:lastRenderedPageBreak/>
        <w:t>die Pflegekasse. Alternativ kann auch über die Online-App der Pflegekasse abgerechnet werden. Das Geld wird nach der Prüfung überwiesen.</w:t>
      </w:r>
    </w:p>
    <w:p w:rsidR="00690F71" w:rsidRDefault="008F14E5">
      <w:r>
        <w:t>Wem dieser Aufwand zu groß ist, kann sich auch von einem lokalen Sanitätshaus direkt beliefern lassen oder dor</w:t>
      </w:r>
      <w:r>
        <w:t xml:space="preserve">t seinen Bedarf selbst zusammenstellen. Viele Sanitätshäuser bieten inzwischen einen ähnlichen Service an wie Online-Boxen. </w:t>
      </w:r>
      <w:r>
        <w:rPr>
          <w:b/>
        </w:rPr>
        <w:t>Annette Liebmann</w:t>
      </w:r>
    </w:p>
    <w:p w:rsidR="00690F71" w:rsidRDefault="008F14E5">
      <w:pPr>
        <w:pStyle w:val="berschrift1"/>
      </w:pPr>
      <w:bookmarkStart w:id="15" w:name="_Toc241048505"/>
      <w:r>
        <w:t>Kurze Leitung zur Zentrale</w:t>
      </w:r>
      <w:bookmarkEnd w:id="15"/>
    </w:p>
    <w:p w:rsidR="00690F71" w:rsidRDefault="008F14E5">
      <w:pPr>
        <w:pStyle w:val="Standard-Fett"/>
      </w:pPr>
      <w:r>
        <w:t>Was einen guten Hausnotruf ausmacht</w:t>
      </w:r>
    </w:p>
    <w:p w:rsidR="00690F71" w:rsidRDefault="008F14E5">
      <w:pPr>
        <w:pStyle w:val="Vorspann"/>
      </w:pPr>
      <w:r>
        <w:t>Ein Hausnotruf verleiht Sicherheit – insbesondere äl</w:t>
      </w:r>
      <w:r>
        <w:t>teren Menschen, die alleine leben. Doch bei den Anbietern und Systemen gibt es große Unterschiede. Swantje Waterstraat, Redakteurin bei Stiftung Warentest, erklärt, worauf man bei einem Hausnotruf achten sollte.</w:t>
      </w:r>
    </w:p>
    <w:p w:rsidR="00690F71" w:rsidRDefault="008F14E5">
      <w:r>
        <w:t>Für den klassischen Hausnotruf braucht es ei</w:t>
      </w:r>
      <w:r>
        <w:t>nen Festnetzanschluss, um eine Basisstation mit Freisprechanlage installieren zu können. Der Notrufknopf wird als Kette um den Hals oder als Armband getragen. Drückt man ihn, wird ein Funksignal an die Basisstation gesendet. Diese verbindet sich mit der No</w:t>
      </w:r>
      <w:r>
        <w:t>trufzentrale. Das Hausnotrufgerät funktioniert nur in der Wohnung. Daneben gibt es auf Mobilfunk basierende Systeme, die auch unterwegs genutzt werden können.</w:t>
      </w:r>
    </w:p>
    <w:p w:rsidR="00690F71" w:rsidRDefault="008F14E5">
      <w:r>
        <w:t xml:space="preserve">Für Waterstraat ist die Kompetenz der Mitarbeitenden in der Notrufzentrale ausschlaggebend. „Sie </w:t>
      </w:r>
      <w:r>
        <w:t>müssen gut geschult sein, um den Gesundheitszustand der Person, die den Notruf abgesetzt hat, einschätzen und entscheiden zu können, welche Hilfe notwendig ist“, erklärt sie. Idealerweise wird ein Notruf innerhalb von 30 Sekunden angenommen. Die oder der M</w:t>
      </w:r>
      <w:r>
        <w:t xml:space="preserve">itarbeitende sollte die Person mit Namen anreden, verständlich sprechen und die Situation erfragen. „Falls es ausreicht, Angehörige zu informieren, sollte dies innerhalb von zwei bis drei Minuten passieren“, so Waterstraat weiter. </w:t>
      </w:r>
    </w:p>
    <w:p w:rsidR="00690F71" w:rsidRDefault="008F14E5">
      <w:r>
        <w:t xml:space="preserve">Die Expertin empfiehlt, </w:t>
      </w:r>
      <w:r>
        <w:t>sich verschiedene Angebote einzuholen. Eine unabhängige Beratung etwa zu Vertragsfragen bieten die Verbraucherzentralen. Vor der Inbetriebnahme wird der Hausnotruf erst einmal getestet. „Die Sprechverbindung sollte auch dann gut sein, wenn man sich nicht i</w:t>
      </w:r>
      <w:r>
        <w:t xml:space="preserve">n dem Raum aufhält, in dem die Basisstation steht“, erklärt Waterstraat. Die oder der Mitarbeitende in der Notrufzentrale sollte alles verstehen, was man sagt, und umgekehrt. </w:t>
      </w:r>
    </w:p>
    <w:p w:rsidR="00690F71" w:rsidRDefault="008F14E5">
      <w:r>
        <w:t>Ratsam ist, die Vertragsbedingungen zu prüfen und vorab zu klären, welche Kosten</w:t>
      </w:r>
      <w:r>
        <w:t xml:space="preserve"> auf einen zukommen. Der monatliche Zuschuss der Pflegekassen für Alleinlebende mit Pflegegrad muss beantragt werden und liegt bei 27 Euro. Extras wie die Schlüsselverwahrung sind selbst zu zahlen.</w:t>
      </w:r>
    </w:p>
    <w:p w:rsidR="00690F71" w:rsidRDefault="008F14E5">
      <w:r>
        <w:t xml:space="preserve">Gut zu wissen: Ein Hausnotruf-Vertrag kann bis zu 14 Tage </w:t>
      </w:r>
      <w:r>
        <w:t xml:space="preserve">nach Abschluss ohne Begründung widerrufen werden.  </w:t>
      </w:r>
      <w:r>
        <w:rPr>
          <w:b/>
        </w:rPr>
        <w:t>ali</w:t>
      </w:r>
    </w:p>
    <w:p w:rsidR="00690F71" w:rsidRDefault="008F14E5">
      <w:pPr>
        <w:pStyle w:val="berschrift1"/>
      </w:pPr>
      <w:bookmarkStart w:id="16" w:name="_Toc241048506"/>
      <w:r>
        <w:lastRenderedPageBreak/>
        <w:t>Pflege darf kein Nachteil werden</w:t>
      </w:r>
      <w:bookmarkEnd w:id="16"/>
    </w:p>
    <w:p w:rsidR="00690F71" w:rsidRDefault="008F14E5">
      <w:pPr>
        <w:pStyle w:val="Standard-Fett"/>
      </w:pPr>
      <w:r>
        <w:t>Sozialverband VdK kritisiert geplante Kürzung von Rentenbeiträgen und warnt vor einem Anstieg der Altersarmut</w:t>
      </w:r>
    </w:p>
    <w:p w:rsidR="00690F71" w:rsidRDefault="008F14E5">
      <w:pPr>
        <w:pStyle w:val="Vorspann"/>
      </w:pPr>
      <w:r>
        <w:t xml:space="preserve">Menschen, die ihre Familienangehörigen pflegen, sollen </w:t>
      </w:r>
      <w:r>
        <w:t>laut einem Gesetzentwurf künftig 30 Prozent weniger Rentenbeiträge erhalten. Der Sozialverband VdK hat dazu zahlreiche empörte Zuschriften von Betroffenen bekommen. Viele würden die geplante Kürzung nicht nur finanziell schwer verkraften - sie empfinden di</w:t>
      </w:r>
      <w:r>
        <w:t>ese auch als Geringschätzung ihres Engagements.</w:t>
      </w:r>
    </w:p>
    <w:p w:rsidR="00690F71" w:rsidRDefault="008F14E5">
      <w:r>
        <w:t>Mehr als fünf Millionen pflegebedürftige Menschen werden zuhause versorgt – die meisten von ihren Angehörigen. Dieses Engagement hat oft langfristige Folgen. Denn wer Eltern, Partnerinnen und Partner oder Kin</w:t>
      </w:r>
      <w:r>
        <w:t xml:space="preserve">der pflegt, reduziert in vielen Fällen die Erwerbstätigkeit oder gibt den Beruf ganz auf. </w:t>
      </w:r>
    </w:p>
    <w:p w:rsidR="00690F71" w:rsidRDefault="008F14E5">
      <w:r>
        <w:t>Die damit verbundenen Einkommenseinbußen wirken sich auf die spätere Rente aus. Viele pflegende Angehörige stehen vor einem Dilemma: Sie übernehmen Verantwortung für</w:t>
      </w:r>
      <w:r>
        <w:t xml:space="preserve"> ihre Familie und riskieren gleichzeitig, finanziell schlechter abgesichert zu sein.</w:t>
      </w:r>
    </w:p>
    <w:p w:rsidR="00690F71" w:rsidRDefault="008F14E5">
      <w:pPr>
        <w:pStyle w:val="Zwischentitel"/>
      </w:pPr>
      <w:r>
        <w:t>Pflege als Armutsfalle</w:t>
      </w:r>
    </w:p>
    <w:p w:rsidR="00690F71" w:rsidRDefault="008F14E5">
      <w:r>
        <w:t>Doch damit nicht genug: Der Entwurf des Pflegeneuordnungsgesetzes (PNOG) aus dem Bundesgesundheitsministerium sieht vor, die Rentenversicherungsbeit</w:t>
      </w:r>
      <w:r>
        <w:t>räge für pflegende Angehörige auch noch um 30 Prozent zu kürzen. Die Pflegekassen zahlen diese Beiträge auf Grundlage eines fiktiven Einkommens. Für pflegende Angehörige ist dieser Beitrag ein wichtiger Bestandteil ihrer sozialen Sicherung. Eine Reduzierun</w:t>
      </w:r>
      <w:r>
        <w:t xml:space="preserve">g der Rentenpunkte würde das Risiko noch weiter erhöhen, dass die Pflege zur Armutsfalle wird. </w:t>
      </w:r>
    </w:p>
    <w:p w:rsidR="00690F71" w:rsidRDefault="008F14E5">
      <w:r>
        <w:t xml:space="preserve">Das wird an einem Rechenbeispiel deutlich: Aktuell erwirbt man für ein Jahr Angehörigenpflege bei Pflegegrad 2 einen zusätzlichen monatlichen Rentenanspruch in </w:t>
      </w:r>
      <w:r>
        <w:t>Höhe von zehn Euro (brutto) und für die Pflegegrade 3 bis 5 in Höhe von 16,26 beziehungsweise 37 Euro im Monat. Rechnet man für Pflegegrad 3 und drei Jahre Pflege den Wert der 30-prozentigen Kürzung aus, sind das bei 20 Jahren Rentenbezug mindestens 3500 E</w:t>
      </w:r>
      <w:r>
        <w:t>uro weniger.</w:t>
      </w:r>
    </w:p>
    <w:p w:rsidR="00690F71" w:rsidRDefault="008F14E5">
      <w:r>
        <w:t>Doch oft geht es gar nicht nur um das Geld, sondern um die damit verbundene Anerkennung. Das geht aus vielen Zuschriften von VdK-Mitgliedern hervor. Ein Mann schreibt, er sei schwerstpflegebedürftig und werde seit mehr als 21 Jahren von seiner</w:t>
      </w:r>
      <w:r>
        <w:t xml:space="preserve"> Ehefrau zu Hause versorgt. Er lebt mit dem sogenannten Locked-in-Syndrom, ist geistig klar, aber körperlich fast vollständig gelähmt. Deshalb ist er rund um die Uhr auf Unterstützung angewiesen. Seine Frau hat dafür über zwei Jahrzehnte auf berufliche Cha</w:t>
      </w:r>
      <w:r>
        <w:t>ncen, Einkommen und große Teile ihres eigenen Lebens verzichtet. Für Menschen wie sie wäre die Kürzung des Beitrags ein Schlag ins Gesicht.</w:t>
      </w:r>
    </w:p>
    <w:p w:rsidR="00690F71" w:rsidRDefault="008F14E5">
      <w:r>
        <w:lastRenderedPageBreak/>
        <w:t xml:space="preserve">Dass der neue Bundesgesundheitsminister Carsten Linnemann angekündigt hat, die von Vorgängerin Nina Warken geplante </w:t>
      </w:r>
      <w:r>
        <w:t>Maßnahme zurückzunehmen, begrüßt VdK-Präsidentin Verena Bentele: „Die Anerkennung der Leistung pflegender Angehöriger ist überfällig. Dass der Minister die Kritik aufgreift, ist ein wichtiges und positives Signal für viele Millionen Menschen, dem nun Taten</w:t>
      </w:r>
      <w:r>
        <w:t xml:space="preserve"> folgen müssen. Die Kürzung muss aus dem Gesetzentwurf gestrichen werden.“</w:t>
      </w:r>
    </w:p>
    <w:p w:rsidR="00690F71" w:rsidRDefault="008F14E5">
      <w:pPr>
        <w:pStyle w:val="Zwischentitel"/>
      </w:pPr>
      <w:r>
        <w:t>Teilrente beibehalten</w:t>
      </w:r>
    </w:p>
    <w:p w:rsidR="00690F71" w:rsidRDefault="008F14E5">
      <w:r>
        <w:t>Zudem fordert der VdK, die bisherige Möglichkeit zu erhalten, auch während des Rentenbezugs über eine Teilrente von bis zu 99,9 Prozent zusätzliche Entgeltpunk</w:t>
      </w:r>
      <w:r>
        <w:t>te für die Pflege von Angehörigen zu erwerben. Gerade für ältere Menschen, die bereits eine Rente beziehen, kann die Pflege eines Angehörigen mit erheblichen Belastungen verbunden sein. Die Möglichkeit, durch die Pflege zusätzliche Rentenansprüche zu erwer</w:t>
      </w:r>
      <w:r>
        <w:t>ben, ist daher von besonderer Bedeutung. Die Begründung, es handele sich bei dieser Möglichkeit um eine ursprünglich nicht beabsichtigte Folge des Gesetzes beziehungsweise um eine gesetzgeberische Lücke, überzeugt den VdK nach knapp zehn Jahren gelebter Pr</w:t>
      </w:r>
      <w:r>
        <w:t xml:space="preserve">axis nicht. Die Regelung ist seit Jahren bekannt und wird sowohl von Sozialverbänden als auch von der Deutschen Rentenversicherung in der Beratungspraxis berücksichtigt.  </w:t>
      </w:r>
      <w:r>
        <w:rPr>
          <w:b/>
        </w:rPr>
        <w:t>Jörg Ciszewski</w:t>
      </w:r>
    </w:p>
    <w:p w:rsidR="00690F71" w:rsidRDefault="008F14E5">
      <w:pPr>
        <w:pStyle w:val="berschrift1"/>
      </w:pPr>
      <w:bookmarkStart w:id="17" w:name="_Toc241048507"/>
      <w:r>
        <w:t>Kassen zahlen Cannabisblüten nicht mehr</w:t>
      </w:r>
      <w:bookmarkEnd w:id="17"/>
    </w:p>
    <w:p w:rsidR="00690F71" w:rsidRDefault="008F14E5">
      <w:pPr>
        <w:pStyle w:val="Standard-Fett"/>
      </w:pPr>
      <w:r>
        <w:t>Vielen Schmerzpatientinnen und</w:t>
      </w:r>
      <w:r>
        <w:t xml:space="preserve"> -patienten fehlt eine Alternative</w:t>
      </w:r>
    </w:p>
    <w:p w:rsidR="00690F71" w:rsidRDefault="008F14E5">
      <w:pPr>
        <w:pStyle w:val="Vorspann"/>
      </w:pPr>
      <w:r>
        <w:t>Seit Inkrafttreten der Krankenkassenreform im Sommer bekommen Patientinnen und Patienten medizinische Cannabisblüten nicht mehr auf Rezept. Für viele Betroffene ist das ein schwerwiegender Einschnitt.</w:t>
      </w:r>
    </w:p>
    <w:p w:rsidR="00690F71" w:rsidRDefault="008F14E5">
      <w:r>
        <w:t>Nadine und Frank Ost</w:t>
      </w:r>
      <w:r>
        <w:t>erloh sind verzweifelt. Ungewissheit plagt das Ehepaar seit klar ist, dass sie ihre Therapie mit Cannabisblüten nicht fortsetzen können. Die 48-jährige Nadine Osterloh leidet seit Jahren an Arthrose, einer chronischen Schmerzstörung und einer depressiven E</w:t>
      </w:r>
      <w:r>
        <w:t xml:space="preserve">rkrankung. Im Jahr 2024 hatte sie mit dem VdK geklagt und erwirkt, dass ihre Krankenkasse die Kosten für eine Therapie mit Cannabis übernimmt. </w:t>
      </w:r>
    </w:p>
    <w:p w:rsidR="00690F71" w:rsidRDefault="008F14E5">
      <w:r>
        <w:t>Das ist nun Vergangenheit. Nadine Osterloh ist den Tränen nah, als sie beschreibt, was ihr jetzt bevorsteht: „Ic</w:t>
      </w:r>
      <w:r>
        <w:t>h werde das Haus kaum noch verlassen können. Die Schmerzen werden immer schlimmer. Ich habe Albträume und dadurch Schlafmangel.“</w:t>
      </w:r>
    </w:p>
    <w:p w:rsidR="00690F71" w:rsidRDefault="008F14E5">
      <w:pPr>
        <w:pStyle w:val="Zwischentitel"/>
      </w:pPr>
      <w:r>
        <w:t>Sechs Monate testen</w:t>
      </w:r>
    </w:p>
    <w:p w:rsidR="00690F71" w:rsidRDefault="008F14E5">
      <w:r>
        <w:lastRenderedPageBreak/>
        <w:t>Seit 1. August dürfen die gesetzlichen Krankenkassen die Kosten nur noch für cannabishaltige Rezepturen wie</w:t>
      </w:r>
      <w:r>
        <w:t xml:space="preserve"> Cannabisextrakt oder Dronabinol als Tropfen oder Kapseln übernehmen. Voraussetzung dafür ist ein vorangegangener sechsmonatiger Therapieversuch mit einem zugelassenen cannabishaltigen Fertigarzneimittel, das nicht ausreichend gewirkt hat. Cannabisblüten k</w:t>
      </w:r>
      <w:r>
        <w:t>önnen grundsätzlich nur noch als Privatrezept verordnet werden. Die Änderungen infolge des GKV-Beitragsstabilisierungsgesetzes verschärfen aus Sicht des Sozialverbands VdK die schwierige Situation von Schmerzpatientinnen und -patienten deutlich.</w:t>
      </w:r>
    </w:p>
    <w:p w:rsidR="00690F71" w:rsidRDefault="008F14E5">
      <w:r>
        <w:t>Viele Pati</w:t>
      </w:r>
      <w:r>
        <w:t>entinnen und Patienten, die mit Cannabisblüten behandelt werden, haben jahrelange Versuche mit anderen Mitteln längst hinter sich. Nadine Osterlohs Ehemann, Frank Osterloh, leidet an Polyneuropathie, einer Erkrankung des peripheren Nervensystems, bei der m</w:t>
      </w:r>
      <w:r>
        <w:t>ehrere Nerven gleichzeitig geschädigt sind. Vier Jahre lang hat der 52-Jährige diverse Therapieansätze ausprobiert, bis ihm Cannabisblüten verschrieben wurden. „Das hat endlich geholfen“, sagt er. „Die Schmerzen waren dadurch nicht weg, aber ich konnte mit</w:t>
      </w:r>
      <w:r>
        <w:t xml:space="preserve"> ihnen gut leben.“</w:t>
      </w:r>
    </w:p>
    <w:p w:rsidR="00690F71" w:rsidRDefault="008F14E5">
      <w:r>
        <w:t>Auch Nadine Osterloh wurde vorher mit anderen Medikamenten behandelt – darunter das Opioid Tilidin, von dem sie abhängig wurde. „Meine Frau überlegt jetzt, damit wieder anzufangen, weil sie keine Cannabisblüten mehr bekommt. Das macht mi</w:t>
      </w:r>
      <w:r>
        <w:t>r große Angst“, sagt Frank Osterloh.</w:t>
      </w:r>
    </w:p>
    <w:p w:rsidR="00690F71" w:rsidRDefault="008F14E5">
      <w:r>
        <w:t>Für das Ehepaar Osterloh ist der Wegfall der Therapiemöglichkeit mit Cannabisblüten ein schwerer Schlag. Mit ihrem Arzt wollen sie nun besprechen, wie es weitergeht. „Wir sehen keine wirkliche Alternative zu den Blüten“</w:t>
      </w:r>
      <w:r>
        <w:t>, sagt Frank Osterloh. Ein Privatrezept sei für das Ehepaar zu teuer, andere Mittel würden ihnen nicht helfen.</w:t>
      </w:r>
    </w:p>
    <w:p w:rsidR="00690F71" w:rsidRDefault="008F14E5">
      <w:r>
        <w:t>Laut der Bayerischen Akademie für Sucht- und Gesundheitsfragen haben im Jahr 2024 rund 330 000 Menschen in Deutschland medizinisches Cannabis auf</w:t>
      </w:r>
      <w:r>
        <w:t xml:space="preserve"> Rezept bekommen. Vor allem Patientinnen und Patienten mit schweren chronischen Leiden, wie etwa Nervenschmerzen, Muskelkrämpfe oder Angststörungen, profitieren von den Blüten. Die im Cannabis enthaltenen Stoffe THC und CBD wirken schmerzlindernd, muskelen</w:t>
      </w:r>
      <w:r>
        <w:t>tspannend, entzündungshemmend sowie angst- und krampflösend.</w:t>
      </w:r>
    </w:p>
    <w:p w:rsidR="00690F71" w:rsidRDefault="008F14E5">
      <w:pPr>
        <w:pStyle w:val="Zwischentitel"/>
      </w:pPr>
      <w:r>
        <w:t>Kritik an Sparvorgeben</w:t>
      </w:r>
    </w:p>
    <w:p w:rsidR="00690F71" w:rsidRDefault="008F14E5">
      <w:r>
        <w:t>Der VdK kritisiert das Vorgehen der Bundesregierung scharf. „Hier wurden Sparvorgaben der Krankenkassen über ärztliche Therapie- und medizinische Entscheidungshoheit gesetz</w:t>
      </w:r>
      <w:r>
        <w:t xml:space="preserve">t. Dies führt dazu, dass viele Patientinnen und Patienten leiden“, sagt VdK-Präsidentin Verena Bentele. „Das Patientenwohl muss an erster Stelle stehen. Therapien dürfen nicht aus Kostengründen wegfallen.“  </w:t>
      </w:r>
      <w:r>
        <w:rPr>
          <w:b/>
        </w:rPr>
        <w:t>Lisa John</w:t>
      </w:r>
    </w:p>
    <w:p w:rsidR="00690F71" w:rsidRDefault="008F14E5">
      <w:pPr>
        <w:pStyle w:val="berschrift1"/>
      </w:pPr>
      <w:bookmarkStart w:id="18" w:name="_Toc241048508"/>
      <w:r>
        <w:t>Zu wenig Bewegung</w:t>
      </w:r>
      <w:bookmarkEnd w:id="18"/>
    </w:p>
    <w:p w:rsidR="00690F71" w:rsidRDefault="008F14E5">
      <w:pPr>
        <w:pStyle w:val="Standard-Fett"/>
      </w:pPr>
      <w:r>
        <w:t>Mehr motorische Störu</w:t>
      </w:r>
      <w:r>
        <w:t>ngen bei Kindern</w:t>
      </w:r>
    </w:p>
    <w:p w:rsidR="00690F71" w:rsidRDefault="008F14E5">
      <w:pPr>
        <w:pStyle w:val="Vorspann"/>
      </w:pPr>
      <w:r>
        <w:lastRenderedPageBreak/>
        <w:t>Immer mehr Kinder und Jugendliche leiden unter motorischen Bewegungsstörungen. Dies ist das Ergebnis einer Datenauswertung der KKH-Kaufmännischen Krankenkasse unter den bei ihr versicherten Heranwachsenden.</w:t>
      </w:r>
    </w:p>
    <w:p w:rsidR="00690F71" w:rsidRDefault="008F14E5">
      <w:r>
        <w:t>Die KKH registrierte im Jahr 202</w:t>
      </w:r>
      <w:r>
        <w:t>4 bei fast 5800 Kindern und Jugendlichen die Diagnose „Motorische Entwicklungsstörung“, darunter rund 4100 Jungen und 1600 Mädchen. Im Vergleich zum Jahr 2014 stieg die Zahl bei den Sechs- bis 18-Jährigen um 32 Prozent, bei den 15- bis 18-Jährigen sogar um</w:t>
      </w:r>
      <w:r>
        <w:t xml:space="preserve"> 67 Prozent. Besonders häufig betroffen sind die Sechs- bis Zehnjährigen: Jedes 18. Kind erhielt eine entsprechende Diagnose.</w:t>
      </w:r>
    </w:p>
    <w:p w:rsidR="00690F71" w:rsidRDefault="008F14E5">
      <w:r>
        <w:t>Als mögliche Gründe nennt die KKH neben dem Medienkonsum auch den durchgetakteten Alltag der Kinder. Diese hätten heute „kaum noch</w:t>
      </w:r>
      <w:r>
        <w:t xml:space="preserve"> Zeit für freies Bewegungsspiel “, so KKH-Sportwissenschaftler Justin Onyechi. Es fehle zudem an Spiel- und Bewegungsräumen. Hinzu komme die Sorge mancher Eltern, die Kinder könnten im Freien Gefahren ausgesetzt sein, so der Experte. </w:t>
      </w:r>
    </w:p>
    <w:p w:rsidR="00690F71" w:rsidRDefault="008F14E5">
      <w:r>
        <w:t xml:space="preserve">Bewegung fördert bei </w:t>
      </w:r>
      <w:r>
        <w:t xml:space="preserve">Heranwachsenden nachweislich die Konzentrationsfähigkeit und wirkt gegen Stress. Sie stärkt das Selbstvertrauen, fördert soziale Kompetenzen und senkt das Risiko für Herz-Kreislauf-Erkrankungen, Rückenleiden, Adipositas und Diabetes. </w:t>
      </w:r>
    </w:p>
    <w:p w:rsidR="00690F71" w:rsidRDefault="008F14E5">
      <w:r>
        <w:t>Ist bei Kindern und J</w:t>
      </w:r>
      <w:r>
        <w:t>ugendlichen über einen längeren Zeitraum ein wankender Gang, vielfaches Stolpern, ungeschicktes Aufstehen oder Greifen nach einem Ball zu beobachten, sei dies ein Warnsignal. Die KKH empfiehlt den Eltern, in solchen Fällen eine Kinderarztpraxis aufzusuchen</w:t>
      </w:r>
      <w:r>
        <w:t xml:space="preserve">. Auch die Teilnahme an den U-Untersuchungen könne dabei helfen, Bewegungsstörungen frühzeitig zu erkennen.  </w:t>
      </w:r>
      <w:r>
        <w:rPr>
          <w:b/>
        </w:rPr>
        <w:t>ken</w:t>
      </w:r>
    </w:p>
    <w:p w:rsidR="00690F71" w:rsidRDefault="008F14E5">
      <w:pPr>
        <w:pStyle w:val="berschrift1"/>
      </w:pPr>
      <w:bookmarkStart w:id="19" w:name="_Toc241048509"/>
      <w:r>
        <w:t>Versorgungslücke befürchtet</w:t>
      </w:r>
      <w:bookmarkEnd w:id="19"/>
    </w:p>
    <w:p w:rsidR="00690F71" w:rsidRDefault="008F14E5">
      <w:pPr>
        <w:pStyle w:val="Standard-Fett"/>
      </w:pPr>
      <w:r>
        <w:t>Brustkrebs-Screening soll budgetiert werden</w:t>
      </w:r>
    </w:p>
    <w:p w:rsidR="00690F71" w:rsidRDefault="008F14E5">
      <w:pPr>
        <w:pStyle w:val="Vorspann"/>
      </w:pPr>
      <w:r>
        <w:t>Die Finanzierung des Brustkrebs-Screenings soll künftig budgetiert werd</w:t>
      </w:r>
      <w:r>
        <w:t>en. Gleichzeitig soll die Altersgrenze für die Teilnahme ausgeweitet werden. Fachleute befürchten dadurch Versorgungslücken.</w:t>
      </w:r>
    </w:p>
    <w:p w:rsidR="00690F71" w:rsidRDefault="008F14E5">
      <w:r>
        <w:t>Der Gemeinsame Bundesausschuss (G-BA) prüft nach einer Entscheidung des Bundesgesundheitsministeriums vom März derzeit den Anspruch</w:t>
      </w:r>
      <w:r>
        <w:t xml:space="preserve"> auf das Brustkrebs-Screening für Frauen zwischen 45 und 49 Jahren. Wird das Vorhaben umgesetzt, könnten ab dem Jahr 2027 rund 2,3 bis 2,5 Millionen Frauen zusätzlich einen Anspruch auf die Untersuchung haben, so die Berechnungen der Referenzzentren des Ma</w:t>
      </w:r>
      <w:r>
        <w:t>mmographie-Screening-Programms.</w:t>
      </w:r>
    </w:p>
    <w:p w:rsidR="00690F71" w:rsidRDefault="008F14E5">
      <w:r>
        <w:t xml:space="preserve">Bislang haben gesetzlich versicherte Frauen zwischen 50 und 75 Jahren alle zwei Jahre Anspruch auf das Screening. Die Kosten dafür werden von den gesetzlichen Krankenkassen vollständig und ohne Budgetierung übernommen – mit </w:t>
      </w:r>
      <w:r>
        <w:t>dem Ziel, möglichst viele Frauen mit der Vorsorgemaßnahme zu erreichen.</w:t>
      </w:r>
    </w:p>
    <w:p w:rsidR="00690F71" w:rsidRDefault="008F14E5">
      <w:r>
        <w:lastRenderedPageBreak/>
        <w:t>Künftig könnte sich dies jedoch durch das GKV-Beitragsstabilisierungsgesetz ändern. Die Kosten für das Screening sowie alle weiteren Präventionsangebote und Früherkennungsuntersuchunge</w:t>
      </w:r>
      <w:r>
        <w:t>n werden ab dem Jahr 2027 aus dem gleichen Vergütungstopf wie die ambulante Versorgung finanziert und sind dort gedeckelt. Während der GKV-Spitzenverband gegenüber „Tagesspiegel Background“ betont, dass im kommenden Jahr insgesamt nicht weniger Geld für Vo</w:t>
      </w:r>
      <w:r>
        <w:t xml:space="preserve">rsorge- und Früherkennungsuntersuchungen zur Verfügung stehen soll, sehen die Fachleute aus den Referenzzentren die Pläne kritisch. </w:t>
      </w:r>
    </w:p>
    <w:p w:rsidR="00690F71" w:rsidRDefault="008F14E5">
      <w:pPr>
        <w:pStyle w:val="Zwischentitel"/>
      </w:pPr>
      <w:r>
        <w:t>Längere Wartezeiten</w:t>
      </w:r>
    </w:p>
    <w:p w:rsidR="00690F71" w:rsidRDefault="008F14E5">
      <w:r>
        <w:t>In einem offenen Brief an die ehemalige Bundesgesundheitsministerin Nina Warken warnen sie vor mögliche</w:t>
      </w:r>
      <w:r>
        <w:t xml:space="preserve">n Versorgungslücken in einigen Regionen. Für betroffene Frauen könnten dadurch längere Wege und Wartezeiten entstehen. </w:t>
      </w:r>
    </w:p>
    <w:p w:rsidR="00690F71" w:rsidRDefault="008F14E5">
      <w:r>
        <w:t>Entscheidend für den Sozialverband VdK ist, dass erprobte und sinnvolle Präventionsangebote und Früherkennungsuntersuchungen wie das Bru</w:t>
      </w:r>
      <w:r>
        <w:t>stkrebs-Screening flächendeckend wohnort- und zeitnah angeboten werden. Die geplanten Deckelungen bei Präventionsmaßnahmen dürfen das Ziel der Früherkennung nicht gefährden: durch eine frühe Diagnose die Chancen auf eine erfolgreiche Behandlung zu erhöhen.</w:t>
      </w:r>
      <w:r>
        <w:t xml:space="preserve">  </w:t>
      </w:r>
      <w:r>
        <w:rPr>
          <w:b/>
        </w:rPr>
        <w:t>ken</w:t>
      </w:r>
    </w:p>
    <w:p w:rsidR="00690F71" w:rsidRDefault="008F14E5">
      <w:pPr>
        <w:pStyle w:val="berschrift1"/>
      </w:pPr>
      <w:bookmarkStart w:id="20" w:name="_Toc241048510"/>
      <w:r>
        <w:t>Erst zum Hausarzt und dann weiter</w:t>
      </w:r>
      <w:bookmarkEnd w:id="20"/>
    </w:p>
    <w:p w:rsidR="00690F71" w:rsidRDefault="008F14E5">
      <w:pPr>
        <w:pStyle w:val="Standard-Fett"/>
      </w:pPr>
      <w:r>
        <w:t>Die geplante Primärversorgung soll Patientinnen und Patienten besser durch das Gesundheitssystem führen</w:t>
      </w:r>
    </w:p>
    <w:p w:rsidR="00690F71" w:rsidRDefault="008F14E5">
      <w:pPr>
        <w:pStyle w:val="Vorspann"/>
      </w:pPr>
      <w:r>
        <w:t>Deutschland soll ein Primärversorgungssystem bekommen. Die Idee klingt gut: Hausärztinnen und Hausärzte sollen e</w:t>
      </w:r>
      <w:r>
        <w:t>rste Ansprechpartner sein und die Patientinnen und Patienten besser durch das Gesundheitswesen führen. Über 70 Prozent aller gesundheitlichen Beschwerden können laut Deutscher Gesellschaft für Allgemein- und Palliativmedizin in der Hausarztpraxis behandelt</w:t>
      </w:r>
      <w:r>
        <w:t xml:space="preserve"> werden.</w:t>
      </w:r>
    </w:p>
    <w:p w:rsidR="00690F71" w:rsidRDefault="008F14E5">
      <w:r>
        <w:t>Wer krank ist, möchte schnell die richtige Hilfe bekommen. Doch oft ist unklar: Reicht der Hausarzt oder brauche ich einen Facharzt? Wo bekomme ich einen Termin? Gerade für Ältere, Menschen mit Behinderung und chronisch Erkrankte kann das Gesundhe</w:t>
      </w:r>
      <w:r>
        <w:t>itssystem kompliziert sein.</w:t>
      </w:r>
    </w:p>
    <w:p w:rsidR="00690F71" w:rsidRDefault="008F14E5">
      <w:r>
        <w:t xml:space="preserve">Hier setzt die geplante Primärversorgung an. Die Hausarztpraxis soll grundsätzlich die erste Anlaufstelle sein. In ihr sollen Ärztinnen und Ärzte einschätzen, welche Behandlung notwendig ist. </w:t>
      </w:r>
    </w:p>
    <w:p w:rsidR="00690F71" w:rsidRDefault="008F14E5">
      <w:pPr>
        <w:pStyle w:val="Zwischentitel"/>
      </w:pPr>
      <w:r>
        <w:t>116 117</w:t>
      </w:r>
    </w:p>
    <w:p w:rsidR="00690F71" w:rsidRDefault="008F14E5">
      <w:r>
        <w:lastRenderedPageBreak/>
        <w:t xml:space="preserve">Wird ein Facharzt gebraucht, soll die Hausarztpraxis die Weiterleitung organisieren und möglichst den Termin vermitteln. Auch der Patientenservice 116 117 und digitale Angebote sollen eine zentrale Rolle übernehmen. Ursprünglich sollte bis zum Sommer 2026 </w:t>
      </w:r>
      <w:r>
        <w:t xml:space="preserve">ein Gesetzentwurf vorliegen. Als Ziel für die Umsetzung gilt das Jahr 2028. Hausärztinnen und Hausärzte kennen ihre Patientinnen und Patienten häufig über viele Jahre. Sie wissen um deren Vorerkrankungen, Medikamente und bisherige Behandlungen. </w:t>
      </w:r>
    </w:p>
    <w:p w:rsidR="00690F71" w:rsidRDefault="008F14E5">
      <w:r>
        <w:t xml:space="preserve">Eine gute </w:t>
      </w:r>
      <w:r>
        <w:t xml:space="preserve">Koordination kann unnötige Untersuchungen vermeiden und dafür sorgen, dass verschiedene Behandlungen und Medikationen besser zusammenpassen. Eine Basis dafür existiert bereits: Über elf Millionen gesetzlich Versicherte nehmen schon heute freiwillig an der </w:t>
      </w:r>
      <w:r>
        <w:t>hausarztzentrierten Versorgung teil.</w:t>
      </w:r>
    </w:p>
    <w:p w:rsidR="00690F71" w:rsidRDefault="008F14E5">
      <w:pPr>
        <w:pStyle w:val="Zwischentitel"/>
      </w:pPr>
      <w:r>
        <w:t>Problem Ärztemangel</w:t>
      </w:r>
    </w:p>
    <w:p w:rsidR="00690F71" w:rsidRDefault="008F14E5">
      <w:r>
        <w:t xml:space="preserve">Schon heute fehlen insbesondere in manchen ländlichen Regionen Hausärztinnen und Hausärzte. Die Primärversorgung kann aber nur dann funktionieren, wenn es flächendeckend Hausarztpraxen für alle gibt </w:t>
      </w:r>
      <w:r>
        <w:t xml:space="preserve">und in den Praxen zeitnahe Termine verfügbar sind. </w:t>
      </w:r>
    </w:p>
    <w:p w:rsidR="00690F71" w:rsidRDefault="008F14E5">
      <w:r>
        <w:t>Auch die freie Arztwahl sollte erhalten bleiben. Finanzielle Nachteile für Menschen, die direkt einen Facharzt aufsuchen, wären nicht zielführend. Denn immer noch könnten sich vermögendere Menschen leicht</w:t>
      </w:r>
      <w:r>
        <w:t xml:space="preserve"> einen Termin erkaufen.</w:t>
      </w:r>
    </w:p>
    <w:p w:rsidR="00690F71" w:rsidRDefault="008F14E5">
      <w:r>
        <w:t>Besonders wichtig sind gute Lösungen für Menschen mit chronischen Erkrankungen. Wer bereits dauerhaft von einer Facharztpraxis behandelt wird, sollte nicht für jeden Termin erneut eine zusätzliche Hürde überwinden müssen. Das wäre w</w:t>
      </w:r>
      <w:r>
        <w:t>eder im Sinne der Betroffenen noch einer guten und effizienten Gesundheitsversorgung.</w:t>
      </w:r>
    </w:p>
    <w:p w:rsidR="00690F71" w:rsidRDefault="008F14E5">
      <w:r>
        <w:t xml:space="preserve">Auch Menschen mit Behinderungen müssen von Anfang an berücksichtigt werden. Digitale Angebote können hilfreich sein, dürfen aber nicht zur Voraussetzung für medizinische </w:t>
      </w:r>
      <w:r>
        <w:t>Versorgung werden. Telefonische und persönliche Zugänge müssen erhalten bleiben.</w:t>
      </w:r>
    </w:p>
    <w:p w:rsidR="00690F71" w:rsidRDefault="008F14E5">
      <w:pPr>
        <w:pStyle w:val="Zwischentitel"/>
      </w:pPr>
      <w:r>
        <w:t>Nur mit Termingarantie</w:t>
      </w:r>
    </w:p>
    <w:p w:rsidR="00690F71" w:rsidRDefault="008F14E5">
      <w:r>
        <w:t>Entscheidend wird sein, dass die angekündigte Termingarantie tatsächlich funktioniert. Eine Überweisung allein reicht nicht. Wer einen Facharzt benötigt</w:t>
      </w:r>
      <w:r>
        <w:t>, muss auch innerhalb eines angemessenen Zeitraums möglichst schnell die notwendige Unterstützung bekommen.</w:t>
      </w:r>
    </w:p>
    <w:p w:rsidR="00690F71" w:rsidRDefault="008F14E5">
      <w:r>
        <w:t>Eine gute Primärversorgung gibt den Menschen Orientierung und koordiniert die Versorgung besser. Dafür braucht es ausreichend Termine und verlässlic</w:t>
      </w:r>
      <w:r>
        <w:t xml:space="preserve">he Strukturen – gerade in ländlichen Regionen, in denen schon heute Ärzte fehlen. Nur dann wird die Primärversorgung tatsächlich zu einer spürbaren Verbesserung für die Patientinnen und Patienten führen. </w:t>
      </w:r>
      <w:r>
        <w:rPr>
          <w:b/>
        </w:rPr>
        <w:t xml:space="preserve"> Robert Manu</w:t>
      </w:r>
    </w:p>
    <w:p w:rsidR="00690F71" w:rsidRDefault="008F14E5">
      <w:pPr>
        <w:pStyle w:val="berschrift1"/>
      </w:pPr>
      <w:bookmarkStart w:id="21" w:name="_Toc241048511"/>
      <w:r>
        <w:lastRenderedPageBreak/>
        <w:t>Beitragserhöhung selbst im Blick behalt</w:t>
      </w:r>
      <w:r>
        <w:t>en</w:t>
      </w:r>
      <w:bookmarkEnd w:id="21"/>
    </w:p>
    <w:p w:rsidR="00690F71" w:rsidRDefault="008F14E5">
      <w:pPr>
        <w:pStyle w:val="Standard-Fett"/>
      </w:pPr>
      <w:r>
        <w:t>Informationspflicht der Krankenkassen gegenüber Versicherten entfällt</w:t>
      </w:r>
    </w:p>
    <w:p w:rsidR="00690F71" w:rsidRDefault="008F14E5">
      <w:pPr>
        <w:pStyle w:val="Vorspann"/>
      </w:pPr>
      <w:r>
        <w:t>Seit Ende Juli müssen die gesetzlichen Krankenkassen ihre Mitglieder nicht mehr darüber informieren, dass sie den Zusatzbeitrag erhöhen. Das Sonderkündigungsrecht bleibt jedoch besteh</w:t>
      </w:r>
      <w:r>
        <w:t>en. Darauf weist die Verbraucherzentrale hin. Sie rät den Versicherten, künftig selbst auf die Höhe der Beiträge zu achten.</w:t>
      </w:r>
    </w:p>
    <w:p w:rsidR="00690F71" w:rsidRDefault="008F14E5">
      <w:r>
        <w:t>Bislang waren die gesetzlichen Krankenkassen verpflichtet, ihre Mitglieder spätestens einen Monat vor der Erhöhung des Zusatzbeitrag</w:t>
      </w:r>
      <w:r>
        <w:t>s zu informieren und auf das Sonderkündigungsrecht hinzuweisen. Dafür versendeten sie regelmäßig Millionen Briefe. Um die Kosten für Porto und Versand zu sparen beziehungsweise Bürokratie abzubauen, wurde diese Informationspflicht mit dem GKV-Beitragssatzs</w:t>
      </w:r>
      <w:r>
        <w:t xml:space="preserve">tabilisierungsgesetz abgeschafft. </w:t>
      </w:r>
    </w:p>
    <w:p w:rsidR="00690F71" w:rsidRDefault="008F14E5">
      <w:r>
        <w:t>Informieren müssen sich die Versicherten nun selbst. Auch wenn die Krankenkassen künftig andere Wege nutzen sollten – etwa über Apps, Webseiten oder Mitgliedermagazine –, könnten viele der Betroffenen eine Erhöhung überse</w:t>
      </w:r>
      <w:r>
        <w:t xml:space="preserve">hen. </w:t>
      </w:r>
    </w:p>
    <w:p w:rsidR="00690F71" w:rsidRDefault="008F14E5">
      <w:pPr>
        <w:pStyle w:val="Zwischentitel"/>
      </w:pPr>
      <w:r>
        <w:t>Oft zu Jahresbeginn</w:t>
      </w:r>
    </w:p>
    <w:p w:rsidR="00690F71" w:rsidRDefault="008F14E5">
      <w:r>
        <w:t xml:space="preserve">Diese erfolgt laut Verbraucherzentrale häufig zu Jahresbeginn – aber nicht immer. Ein Blick auf den Lohn- oder Gehaltszettel kann schnell Klarheit verschaffen, weil der Abzug für die Krankenversicherung dann ansteigt. </w:t>
      </w:r>
    </w:p>
    <w:p w:rsidR="00690F71" w:rsidRDefault="008F14E5">
      <w:r>
        <w:t>In diesem F</w:t>
      </w:r>
      <w:r>
        <w:t>all gilt für die Versicherten ein Sonderkündigungsrecht mit einer Frist von zwei vollen Monaten zum Monatsende. Während dieser Zeit müssen sie jedoch den erhöhten Zusatzbeitrag zahlen, so die Verbraucherzentrale. Ein Beispiel: Die Krankenkasse erhöht ihren</w:t>
      </w:r>
      <w:r>
        <w:t xml:space="preserve"> Zusatzbeitrag zum 1. Januar 2027. Versicherte können nun bis zum 31. Januar ihr Sonderkündigungsrecht nutzen. Dann endet die Mitgliedschaft bei der bisherigen Krankenkasse zum 31. März. Ab 1. April ist die neue Kasse zuständig. </w:t>
      </w:r>
    </w:p>
    <w:p w:rsidR="00690F71" w:rsidRDefault="008F14E5">
      <w:r>
        <w:t>Wer die Krankenkasse wechs</w:t>
      </w:r>
      <w:r>
        <w:t>eln möchte, muss der neuen Kasse mitteilen, dass sie oder er wegen der Erhöhung des Zusatzbeitrags vom Sonderkündigungsrecht Gebrauch macht. Die bisherige Krankenkasse muss nicht informiert werden. „Die neue Krankenkasse übernimmt die notwendigen Formalitä</w:t>
      </w:r>
      <w:r>
        <w:t xml:space="preserve">ten mit der bisherigen Krankenkasse im elektronischen Meldeverfahren“, erklärt die Verbraucherzentrale. </w:t>
      </w:r>
      <w:r>
        <w:rPr>
          <w:b/>
        </w:rPr>
        <w:t>Kristin Enge</w:t>
      </w:r>
    </w:p>
    <w:p w:rsidR="00690F71" w:rsidRDefault="008F14E5">
      <w:r>
        <w:t>Info</w:t>
      </w:r>
    </w:p>
    <w:p w:rsidR="00690F71" w:rsidRDefault="008F14E5">
      <w:r>
        <w:lastRenderedPageBreak/>
        <w:t>Der GKV-Sitzenverband veröffentlicht eine Liste mit den Zusatzbeiträgen der Krankenkassen, die laufend aktualisiert wird. Die Krankenk</w:t>
      </w:r>
      <w:r>
        <w:t xml:space="preserve">assenliste ist über den Menüpunkt „Service“ auf der Webseite des GKV-Spitzenverbands zu finden: </w:t>
      </w:r>
    </w:p>
    <w:p w:rsidR="00690F71" w:rsidRDefault="008F14E5">
      <w:r>
        <w:t xml:space="preserve"> </w:t>
      </w:r>
      <w:hyperlink r:id="rId8">
        <w:r>
          <w:rPr>
            <w:color w:val="0015B7"/>
          </w:rPr>
          <w:t>www.gkv-spitzenverband.de</w:t>
        </w:r>
      </w:hyperlink>
    </w:p>
    <w:p w:rsidR="00690F71" w:rsidRDefault="008F14E5">
      <w:pPr>
        <w:pStyle w:val="berschrift1"/>
      </w:pPr>
      <w:bookmarkStart w:id="22" w:name="_Toc241048512"/>
      <w:r>
        <w:t>Zähneknirschen muss nicht zu Beschwerden führen</w:t>
      </w:r>
      <w:bookmarkEnd w:id="22"/>
    </w:p>
    <w:p w:rsidR="00690F71" w:rsidRDefault="008F14E5">
      <w:pPr>
        <w:pStyle w:val="Standard-Fett"/>
      </w:pPr>
      <w:r>
        <w:t>Experte erläutert, wann Betrof</w:t>
      </w:r>
      <w:r>
        <w:t>fene sich untersuchen lassen sollten, welche Therapien es gibt, und was Aufbissschienen leisten</w:t>
      </w:r>
    </w:p>
    <w:p w:rsidR="00690F71" w:rsidRDefault="008F14E5">
      <w:pPr>
        <w:pStyle w:val="Vorspann"/>
      </w:pPr>
      <w:r>
        <w:t>Zähneknirschen, das in der Fachwelt Bruxismus heißt, ist weit verbreitet. Schätzungen zufolge sind etwa 20 bis 25 Prozent der Bevölkerung davon betroffen.</w:t>
      </w:r>
    </w:p>
    <w:p w:rsidR="00690F71" w:rsidRDefault="008F14E5">
      <w:r>
        <w:t>Einer</w:t>
      </w:r>
      <w:r>
        <w:t xml:space="preserve"> der Experten, der Bruxismus erforscht, ist Professor Dr. Marc Schmitter, Klinikdirektor Zahnärztliche Prothetik an der Uniklinik Würzburg. Er berichtet, dass auf diesem Gebiet viel neues Wissen hinzugekommen ist. Beispielsweise wurde noch vor einigen Jahr</w:t>
      </w:r>
      <w:r>
        <w:t>en behauptet, dass Zähneknirschen immer negative Auswirkungen hätte. Schmitter differenziert: „Es gibt Menschen, die massiv knirschen, aber keine Beschwerden haben. Für die meisten Menschen bleibt das Zähnepressen und -knirschen ohne spürbare Folgen. Nur e</w:t>
      </w:r>
      <w:r>
        <w:t>in kleiner Anteil der Menschen mit Bruxismus haben Probleme.“ Außerdem sei Bruxismus nicht automatisch eine Krankheit, sondern ein Verhalten. Man weiß, dass Menschen, die nachts Zähne knirschen, tendenziell auch tagsüber eher die Kiefer zusammenpressen.</w:t>
      </w:r>
    </w:p>
    <w:p w:rsidR="00690F71" w:rsidRDefault="008F14E5">
      <w:r>
        <w:t>„Schlafbruxismus ist immer mit einem kurzen Aufwachen verbunden, das die Person aber nicht bemerkt, da sie nicht vollständig erwacht. Der Schlaf ist dann aber weniger erholsam. Deshalb fühlen sich manche am nächsten Morgen wie gerädert“, erklärt Schmitter.</w:t>
      </w:r>
      <w:r>
        <w:t xml:space="preserve"> Zu typischen Beschwerden zählen außerdem Kopfschmerzen, Muskelschmerzen im Kiefer-Gesichts-Bereich, Zahnverschleiß oder gelegentlich Tinnitus. </w:t>
      </w:r>
    </w:p>
    <w:p w:rsidR="00690F71" w:rsidRDefault="008F14E5">
      <w:pPr>
        <w:pStyle w:val="Zwischentitel"/>
      </w:pPr>
      <w:r>
        <w:t>Schützende Wirkung</w:t>
      </w:r>
    </w:p>
    <w:p w:rsidR="00690F71" w:rsidRDefault="008F14E5">
      <w:r>
        <w:t>Untersuchungen haben gezeigt, dass Schlafbruxismus auch eine schützende Funktion haben kann.</w:t>
      </w:r>
      <w:r>
        <w:t xml:space="preserve"> „Bei Menschen mit Schlafapnoe kann die Aktivierung der Muskulatur dazu beitragen, die Atemwege wieder zu öffnen“, sagt der Experte.</w:t>
      </w:r>
    </w:p>
    <w:p w:rsidR="00690F71" w:rsidRDefault="008F14E5">
      <w:r>
        <w:t>Die Diagnose kann durch sorgfältige Anamnese, klinische Befunde und instrumentelle Verfahren erfolgen, wobei letztere meist</w:t>
      </w:r>
      <w:r>
        <w:t xml:space="preserve"> zuverlässiger sind. Es gibt ein spezielles Gerät, das die Muskelaktivität des Hauptkaumuskels misst. „Die Patientin oder der Patient trägt es eine Woche. </w:t>
      </w:r>
      <w:r>
        <w:lastRenderedPageBreak/>
        <w:t>Die Ergebnisse zeigen, wie oft ein Mensch pro Nacht mit den Zähnen geknirscht oder gepresst hat. Dies</w:t>
      </w:r>
      <w:r>
        <w:t>e Messung kann bei der Entscheidung, ob eine Behandlung durchgeführt werden soll oder nicht, sehr hilfreich sein“, so der Spezialist.</w:t>
      </w:r>
    </w:p>
    <w:p w:rsidR="00690F71" w:rsidRDefault="008F14E5">
      <w:r>
        <w:t>Zur Therapie von Schlafbruxismus gehört eine Aufbissschiene. Schmitter erklärt, wie sie helfen kann. Hierzu muss man verst</w:t>
      </w:r>
      <w:r>
        <w:t xml:space="preserve">ehen, wie die Muskulatur im Kiefer arbeitet. „Wenn man von den Kiefermuskeln spricht, ist meist der Masseter, der Hauptkaumuskel, gemeint. Wer die Zähne kräftig zusammenbeißt, kann ihn vor dem Ohr beziehungsweise am hinteren Unterkiefer deutlich ertasten. </w:t>
      </w:r>
      <w:r>
        <w:t xml:space="preserve">Beim Pressen kann es sein, dass Teile der Muskulatur stärker belastet sind. Eine Aufbissschiene schwächt das Problem ab.“ </w:t>
      </w:r>
    </w:p>
    <w:p w:rsidR="00690F71" w:rsidRDefault="008F14E5">
      <w:pPr>
        <w:pStyle w:val="Zwischentitel"/>
      </w:pPr>
      <w:r>
        <w:t>Physiotherapie hilft</w:t>
      </w:r>
    </w:p>
    <w:p w:rsidR="00690F71" w:rsidRDefault="008F14E5">
      <w:r>
        <w:t>Eine weitere Behandlungsmöglichkeit ist Physiotherapie, die auf den Kiefer-Gesichts-Bereich spezialisiert ist. A</w:t>
      </w:r>
      <w:r>
        <w:t>ber auch Botox sowie Schmerzmedikamente können Teil der Therapie sein.</w:t>
      </w:r>
    </w:p>
    <w:p w:rsidR="00690F71" w:rsidRDefault="008F14E5">
      <w:r>
        <w:rPr>
          <w:b/>
        </w:rPr>
        <w:t>Elisabeth Antritter</w:t>
      </w:r>
    </w:p>
    <w:p w:rsidR="00690F71" w:rsidRDefault="008F14E5">
      <w:r>
        <w:t>Tipps für Tag-Knirscher</w:t>
      </w:r>
    </w:p>
    <w:p w:rsidR="00690F71" w:rsidRDefault="008F14E5">
      <w:r>
        <w:fldChar w:fldCharType="begin"/>
      </w:r>
      <w:r>
        <w:instrText xml:space="preserve"> HYPERLINK "https://Tagsüber sollten die Zähne locker voneinander getrennt sein und sich, außer beim Einnehmen von Mahlzeiten, nicht berühr</w:instrText>
      </w:r>
      <w:r>
        <w:instrText>en. Zwischen Ober- und Unterkiefer bleibt ein kleiner Abstand, während die Lippen sanft geschlossen sind. Wer unbewusst im Wachzustand immer wieder die Kiefer aufeinanderpresst, belastet seine Kaumuskulatur unnötig. Im Gegensatz zum nächtlichen Knirschen k</w:instrText>
      </w:r>
      <w:r>
        <w:instrText xml:space="preserve">ann es jedoch gelingen, sich dieses Verhalten abzugewöhnen." \h </w:instrText>
      </w:r>
      <w:r>
        <w:fldChar w:fldCharType="separate"/>
      </w:r>
      <w:r>
        <w:rPr>
          <w:b/>
          <w:bCs/>
        </w:rPr>
        <w:t>Fehler! Linkreferenz ungültig.</w:t>
      </w:r>
      <w:r>
        <w:rPr>
          <w:color w:val="0015B7"/>
        </w:rPr>
        <w:fldChar w:fldCharType="end"/>
      </w:r>
    </w:p>
    <w:p w:rsidR="00690F71" w:rsidRDefault="008F14E5">
      <w:r>
        <w:fldChar w:fldCharType="begin"/>
      </w:r>
      <w:r>
        <w:instrText xml:space="preserve"> HYPERLINK</w:instrText>
      </w:r>
      <w:r>
        <w:instrText xml:space="preserve"> "https://Visueller Anker: Einen kleinen Aufkleber (z. B. Smiley) oder Notizzettel auf Spiegel, Fernseher, Teetasse, Smartphone und Wohnungstür kleben. Sobald der Blick darauf fällt, kurz überprüfen: Sind die Zähne gerade aufeinandergepresst? Falls ja, den</w:instrText>
      </w:r>
      <w:r>
        <w:instrText xml:space="preserve"> Kiefer bewusst lockerlassen." \h </w:instrText>
      </w:r>
      <w:r>
        <w:fldChar w:fldCharType="separate"/>
      </w:r>
      <w:r>
        <w:rPr>
          <w:b/>
          <w:bCs/>
        </w:rPr>
        <w:t>Fehler! Linkreferenz ungültig.</w:t>
      </w:r>
      <w:r>
        <w:rPr>
          <w:color w:val="0015B7"/>
        </w:rPr>
        <w:fldChar w:fldCharType="end"/>
      </w:r>
    </w:p>
    <w:p w:rsidR="00690F71" w:rsidRDefault="008F14E5">
      <w:hyperlink r:id="rId9">
        <w:r>
          <w:rPr>
            <w:color w:val="0015B7"/>
          </w:rPr>
          <w:t>Zungentrick: Die Zungenspitze locker</w:t>
        </w:r>
        <w:r>
          <w:rPr>
            <w:color w:val="0015B7"/>
          </w:rPr>
          <w:t xml:space="preserve"> am Gaumen hinter den oberen Schneidezähnen platzieren. Dadurch wird unbewusstes Zubeißen verhindert.</w:t>
        </w:r>
      </w:hyperlink>
    </w:p>
    <w:p w:rsidR="00690F71" w:rsidRDefault="008F14E5">
      <w:r>
        <w:fldChar w:fldCharType="begin"/>
      </w:r>
      <w:r>
        <w:instrText xml:space="preserve"> HYPERLINK "https://Nicht unnötig kauen: Auf Kaugummis verzichten und auf leicht zu kauende Kost achten." \h </w:instrText>
      </w:r>
      <w:r>
        <w:fldChar w:fldCharType="separate"/>
      </w:r>
      <w:r>
        <w:rPr>
          <w:b/>
          <w:bCs/>
        </w:rPr>
        <w:t>Fehler! Linkreferenz ungültig.</w:t>
      </w:r>
      <w:r>
        <w:rPr>
          <w:color w:val="0015B7"/>
        </w:rPr>
        <w:fldChar w:fldCharType="end"/>
      </w:r>
    </w:p>
    <w:p w:rsidR="00690F71" w:rsidRDefault="008F14E5">
      <w:hyperlink r:id="rId10">
        <w:r>
          <w:rPr>
            <w:color w:val="0015B7"/>
          </w:rPr>
          <w:t>Stressabbau: Wer u</w:t>
        </w:r>
        <w:r>
          <w:rPr>
            <w:color w:val="0015B7"/>
          </w:rPr>
          <w:t>nter Druck dazu neigt, die Kiefer aufeinanderzupressen, sollte sich regelmäßig Ruhepausen gönnen, und sich die Muskelaktivität bewusst machen.</w:t>
        </w:r>
      </w:hyperlink>
    </w:p>
    <w:p w:rsidR="00690F71" w:rsidRDefault="008F14E5">
      <w:pPr>
        <w:pStyle w:val="berschrift1"/>
      </w:pPr>
      <w:bookmarkStart w:id="23" w:name="_Toc241048513"/>
      <w:r>
        <w:t>Starke Muskeln, starke Knochen</w:t>
      </w:r>
      <w:bookmarkEnd w:id="23"/>
    </w:p>
    <w:p w:rsidR="00690F71" w:rsidRDefault="008F14E5">
      <w:pPr>
        <w:pStyle w:val="Standard-Fett"/>
      </w:pPr>
      <w:r>
        <w:t>Regelmäßiges Training stärkt das Skelettsystem und wirkt Osteoporose entgegen</w:t>
      </w:r>
    </w:p>
    <w:p w:rsidR="00690F71" w:rsidRDefault="008F14E5">
      <w:pPr>
        <w:pStyle w:val="Vorspann"/>
      </w:pPr>
      <w:r>
        <w:t xml:space="preserve">Wer </w:t>
      </w:r>
      <w:r>
        <w:t xml:space="preserve">regelmäßig Sport macht, trainiert nicht nur seine Muskeln, sondern stärkt auch seine Knochen. Denn durch jede gezielte Belastung wird der Knochenstoffwechsel angeregt. </w:t>
      </w:r>
    </w:p>
    <w:p w:rsidR="00690F71" w:rsidRDefault="008F14E5">
      <w:r>
        <w:t>Nicht nur Muskeln und Gelenke werden durch Training fit, sondern auch das Skelettsystem</w:t>
      </w:r>
      <w:r>
        <w:t>. „Knochen brauchen viel Bewegung, damit der Körper mehr Kalzium ins Skelettsystem transportiert“, erklärt Prof. Dr. Uwe Maus, Klinikdirektor für Orthopädie an der Medizinischen Universität Lausitz und Leiter der Sektion Osteologie bei der Deutschen Gesell</w:t>
      </w:r>
      <w:r>
        <w:t xml:space="preserve">schaft für Orthopädie und Unfallchirurgie. </w:t>
      </w:r>
    </w:p>
    <w:p w:rsidR="00690F71" w:rsidRDefault="008F14E5">
      <w:r>
        <w:lastRenderedPageBreak/>
        <w:t>Bei jeder Bewegung ziehen mehrere Muskelstränge den Knochen in verschiedene Richtungen. „Je stärker die Muskeln arbeiten, desto mehr verformt sich dabei der Knochen, und desto stabiler wird er dadurch“, so der Or</w:t>
      </w:r>
      <w:r>
        <w:t>thopäde. Der Körper brauche sowohl Gewichtsbelastung, wie etwa beim Training an Fitnessgeräten, als auch leichte Erschütterungen, beispielsweise durch das Springen auf einem Trampolin. „Man muss sich schon belasten, um seine Knochen stabil zu erhalten“, be</w:t>
      </w:r>
      <w:r>
        <w:t xml:space="preserve">tont Maus. </w:t>
      </w:r>
    </w:p>
    <w:p w:rsidR="00690F71" w:rsidRDefault="008F14E5">
      <w:r>
        <w:t xml:space="preserve">Sind die Knochen jedoch bereits porös, können sie nur teilweise wieder aufgebaut werden. Osteoporose entsteht schleichend und verursacht keine Schmerzen. „Meist wird die Erkrankung bei einem plötzlichen Knochenbruch entdeckt“, sagt er. Typisch </w:t>
      </w:r>
      <w:r>
        <w:t>für Osteoporose sind Frakturen ohne äußere Einwirkung oder bei geringer Belastung. Am häufigsten betroffen sind Wirbelsäule, Schulter und Hand- sowie Hüftgelenk.</w:t>
      </w:r>
    </w:p>
    <w:p w:rsidR="00690F71" w:rsidRDefault="008F14E5">
      <w:pPr>
        <w:pStyle w:val="Zwischentitel"/>
      </w:pPr>
      <w:r>
        <w:t>Frühe Diagnose wichtig</w:t>
      </w:r>
    </w:p>
    <w:p w:rsidR="00690F71" w:rsidRDefault="008F14E5">
      <w:r>
        <w:t>Deshalb ist es wichtig, die Krankheit früh zu entdecken, um gezielt geg</w:t>
      </w:r>
      <w:r>
        <w:t>ensteuern zu können. Zu den Risikogruppen, die sich auf Kosten der Krankenkasse testen lassen können, zählen Frauen nach einer Brustkrebserkrankung, Patientinnen und Patienten, die langfristig mit Cortison behandelt werden, sowie Menschen mit Darmerkrankun</w:t>
      </w:r>
      <w:r>
        <w:t xml:space="preserve">gen wie Morbus Crohn und Colitis oder Nahrungsmittelunverträglichkeiten wie Zöliakie. </w:t>
      </w:r>
    </w:p>
    <w:p w:rsidR="00690F71" w:rsidRDefault="008F14E5">
      <w:r>
        <w:t>Bei einem sogenannten Ermüdungsbruch untersuchen die Mediziner, wie weit fortgeschritten die Osteoporose bereits ist. Da das Risiko für Folgebrüche hoch ist, muss sofort</w:t>
      </w:r>
      <w:r>
        <w:t xml:space="preserve"> mit einer Therapie begonnen werden. Diese besteht aus den Knochenabbau hemmenden Medikamenten oder in schweren Fällen aus knochenaufbauenden Präparaten. </w:t>
      </w:r>
    </w:p>
    <w:p w:rsidR="00690F71" w:rsidRDefault="008F14E5">
      <w:pPr>
        <w:pStyle w:val="Zwischentitel"/>
      </w:pPr>
      <w:r>
        <w:t>Kalzium und Vitamin D3</w:t>
      </w:r>
    </w:p>
    <w:p w:rsidR="00690F71" w:rsidRDefault="008F14E5">
      <w:r>
        <w:t>Gesunde Menschen können viel für ihre Knochengesundheit tun, indem sie mit der</w:t>
      </w:r>
      <w:r>
        <w:t xml:space="preserve"> Nahrung täglich Kalzium zu sich nehmen, beispielsweise in Form von Milchprodukten. Wer diese nicht verträgt, kann kalziumhaltiges Mineralwasser trinken. Auch Gemüse wie Grünkohl, Rucola und Broccoli enthalten viel von diesem Mineralstoff. Hinzu kommt Vita</w:t>
      </w:r>
      <w:r>
        <w:t>min D3, das dafür sorgt, dass das Kalzium aus dem Darm ins Blut aufgenommen und in die Knochen eingebaut werden kann. Zigaretten und Alkohol hingegen gelten als „Kalziumräuber“ und sollten gemieden werden.</w:t>
      </w:r>
    </w:p>
    <w:p w:rsidR="00690F71" w:rsidRDefault="008F14E5">
      <w:r>
        <w:t>Auch wer bereits an Osteoporose erkrankt ist, kann</w:t>
      </w:r>
      <w:r>
        <w:t xml:space="preserve"> mit Bewegung den Krankheitsverlauf mildern. „Körperliche Aktivitäten kräftigen die Muskulatur und trainieren die Reaktionsgeschwindigkeit. Das senkt das Sturzrisiko“, bekräftigt Maus. </w:t>
      </w:r>
    </w:p>
    <w:p w:rsidR="00690F71" w:rsidRDefault="008F14E5">
      <w:r>
        <w:t>Geeignete Sportarten gibt es viele. „In erster Linie soll die Bewegung</w:t>
      </w:r>
      <w:r>
        <w:t xml:space="preserve"> Spaß machen. Sie sollte aber auch ein Krafttraining enthalten“, sagt der Experte. Mit zunehmendem Alter werde es immer wichtiger, auch Koordination und Balance zu üben. Mit Yoga und Pilates beispielsweise habe man alle drei Komponenten abgedeckt.  </w:t>
      </w:r>
      <w:r>
        <w:rPr>
          <w:b/>
        </w:rPr>
        <w:t>Annette</w:t>
      </w:r>
      <w:r>
        <w:rPr>
          <w:b/>
        </w:rPr>
        <w:t xml:space="preserve"> Liebmann</w:t>
      </w:r>
    </w:p>
    <w:p w:rsidR="00690F71" w:rsidRDefault="008F14E5">
      <w:pPr>
        <w:pStyle w:val="berschrift1"/>
      </w:pPr>
      <w:bookmarkStart w:id="24" w:name="_Toc241048514"/>
      <w:r>
        <w:lastRenderedPageBreak/>
        <w:t>Vorsicht bei Mikrobiom-Selbsttests</w:t>
      </w:r>
      <w:bookmarkEnd w:id="24"/>
    </w:p>
    <w:p w:rsidR="00690F71" w:rsidRDefault="008F14E5">
      <w:pPr>
        <w:pStyle w:val="Vorspann"/>
      </w:pPr>
      <w:r>
        <w:t xml:space="preserve">Mikrobiom-Selbsttests, die die Darmflora analysieren, liegen im Trend. Die Deutsche Gesellschaft für Gastroenterologie, Verdauungs- und Stoffwechselkrankheiten (DGVS) sieht deren Nutzen kritisch. </w:t>
      </w:r>
    </w:p>
    <w:p w:rsidR="00690F71" w:rsidRDefault="008F14E5">
      <w:r>
        <w:t>Viele Menschen</w:t>
      </w:r>
      <w:r>
        <w:t xml:space="preserve"> hoffen, damit eine Aussage über ihre Darmgesundheit zu erhalten. Doch das ist laut DGVS nicht der Fall: „Nach aktuellem Wissensstand lassen kommerzielle Mikrobiomtests keine zuverlässige Einschätzung darüber zu, ob das Mikrobiom gesund ist“, sagt Prof. Dr</w:t>
      </w:r>
      <w:r>
        <w:t>. Birgit Terjung, Sprecherin der DGVS und Chefärztin der Inneren Medizin am St. Josef Hospital in Bonn. Das Mikrobiom sei hochindividuell und verändere sich ständig. Experten kritisieren zudem, dass es für die Tests keine einheitlichen Standards gibt.</w:t>
      </w:r>
    </w:p>
    <w:p w:rsidR="00690F71" w:rsidRDefault="008F14E5">
      <w:r>
        <w:t xml:space="preserve">Die </w:t>
      </w:r>
      <w:r>
        <w:t>DGVS mahnt im Umgang mit kommerziellen Selbsttests zur Vorsicht. Häufig erhalte man eine wissenschaftlich nicht fundierte Auflistung von Daten, die wenig Nutzen hätten, so Terjung. „Sinnvoller sind Ernährungsgewohnheiten, von denen wir wissen, dass sie sic</w:t>
      </w:r>
      <w:r>
        <w:t>h positiv auf Mikrobiom und Stoffwechsel auswirken, also viele fermentierte und ballaststoffreiche Produkte“, erklärt sie. Gleichzeitig rät sie zum weitgehenden Verzicht auf rotes Fleisch, Zucker, Alkohol und hochverarbeitete Lebensmittel. Patientinnen und</w:t>
      </w:r>
      <w:r>
        <w:t xml:space="preserve"> Patienten mit Verdauungsbeschwerden sollten sich an eine Fachärztin oder einen Facharzt wenden.  </w:t>
      </w:r>
      <w:r>
        <w:rPr>
          <w:b/>
        </w:rPr>
        <w:t>ali</w:t>
      </w:r>
    </w:p>
    <w:p w:rsidR="00690F71" w:rsidRDefault="008F14E5">
      <w:pPr>
        <w:pStyle w:val="berschrift1"/>
      </w:pPr>
      <w:bookmarkStart w:id="25" w:name="_Toc241048515"/>
      <w:r>
        <w:t>Ein Zehner für die Altersvorsorge</w:t>
      </w:r>
      <w:bookmarkEnd w:id="25"/>
    </w:p>
    <w:p w:rsidR="00690F71" w:rsidRDefault="008F14E5">
      <w:pPr>
        <w:pStyle w:val="Standard-Fett"/>
      </w:pPr>
      <w:r>
        <w:t>Mit der Frühstartrente den Ruhestand besser absichern – VdK fordert höheres Rentenniveau gegen Altersarmut</w:t>
      </w:r>
    </w:p>
    <w:p w:rsidR="00690F71" w:rsidRDefault="008F14E5">
      <w:pPr>
        <w:pStyle w:val="Vorspann"/>
      </w:pPr>
      <w:r>
        <w:t xml:space="preserve">Ab 1. Januar </w:t>
      </w:r>
      <w:r>
        <w:t>2027 sollen Kinder vom sechsten bis zum 18. Lebensjahr monatlich zehn Euro vom Staat erhalten, so die Pläne der Regierungskoalition. Die sogenannte Frühstartrente soll in ein individuelles kapitalgedecktes Altersvorsorgedepot fließen und ein finanzielles P</w:t>
      </w:r>
      <w:r>
        <w:t>olster fürs Alter bilden. Das Gesetz ist noch nicht beschlossen. Die VdK-Zeitung gibt einen Überblick über die Pläne.</w:t>
      </w:r>
    </w:p>
    <w:p w:rsidR="00690F71" w:rsidRDefault="008F14E5">
      <w:r>
        <w:t>Laut Gesetzentwurf sollen Kinder, die 2020 und 2021 geboren wurden, erstmals einen Anspruch auf die Frühstartrente haben. Ab dem Jahr 2028</w:t>
      </w:r>
      <w:r>
        <w:t xml:space="preserve"> käme dann jeweils der Jahrgang hinzu, der in dem Jahr sechs Jahre alt wird. Die Eltern könnten dann für das Kind einen Vertrag für ein staatlich organisiertes Standarddepot oder Produkte von Banken, Versicherungen und anderen Anbietern abschließen. Das ko</w:t>
      </w:r>
      <w:r>
        <w:t>nkrete Verfahren muss aber noch abschließend geklärt werden.</w:t>
      </w:r>
    </w:p>
    <w:p w:rsidR="00690F71" w:rsidRDefault="008F14E5">
      <w:r>
        <w:t>Derzeit ist vorgesehen, dass bei der Frühstartrente keine Abschluss- und Vertriebskosten für das Depot erhoben werden dürfen. Die laufenden Kosten sollen bis zur Vollendung des 18. Lebensjahres a</w:t>
      </w:r>
      <w:r>
        <w:t>uf ein Prozent pro Jahr begrenzt werden.</w:t>
      </w:r>
    </w:p>
    <w:p w:rsidR="00690F71" w:rsidRDefault="008F14E5">
      <w:pPr>
        <w:pStyle w:val="Zwischentitel"/>
      </w:pPr>
      <w:r>
        <w:lastRenderedPageBreak/>
        <w:t>Ohne Antrag</w:t>
      </w:r>
    </w:p>
    <w:p w:rsidR="00690F71" w:rsidRDefault="008F14E5">
      <w:r>
        <w:t>Voraussichtlich sollen die zehn Euro pro Monat automatisch über die Anbieter in das Depot fließen – ein Antrag wäre demnach nicht erforderlich. Eltern, Großeltern oder Dritte können das Depot um bis zu 6</w:t>
      </w:r>
      <w:r>
        <w:t>840 Euro pro Jahr mit eigenem Geld aufstocken.</w:t>
      </w:r>
    </w:p>
    <w:p w:rsidR="00690F71" w:rsidRDefault="008F14E5">
      <w:r>
        <w:t>Der Gesetzentwurf sieht auch vor, dass die staatliche Förderung nicht verfallen soll, wenn Eltern kein Depot für ihr Kind eröffnen. Stattdessen soll es gesammelt über die Bundesbank am Kapitalmarkt angelegt we</w:t>
      </w:r>
      <w:r>
        <w:t>rden. Betroffene sollen diese Mittel dann bis zur Vollendung des 25. Lebensjahres quartalsweise abrufen können, so die Pläne. Ansonsten würden die Mittel in den Bundeshaushalt zurückfließen.</w:t>
      </w:r>
    </w:p>
    <w:p w:rsidR="00690F71" w:rsidRDefault="008F14E5">
      <w:r>
        <w:t>Eine Auszahlung des angesparten Geldes soll grundsätzlich erst mi</w:t>
      </w:r>
      <w:r>
        <w:t>t Vollendung des 65. Lebensjahres möglich sein. Voraussichtlich wäre das Geld dann zu versteuern, während die Erträge in der Ansparphase steuerfrei bleiben sollen.</w:t>
      </w:r>
    </w:p>
    <w:p w:rsidR="00690F71" w:rsidRDefault="008F14E5">
      <w:r>
        <w:t>In einer Modellrechnung geht die Bundesregierung davon aus, dass bis zum Rentenalter rund 53</w:t>
      </w:r>
      <w:r>
        <w:t> 000 Euro zusammenkommen können, wenn nur die staatliche Förderung in das Altersvorsorgedepot fließt und die Wertentwicklung bei etwa sieben Prozent liegt.</w:t>
      </w:r>
    </w:p>
    <w:p w:rsidR="00690F71" w:rsidRDefault="008F14E5">
      <w:r>
        <w:t>Michael Popp, Fachreferent für Alterssicherung im Sozialverband VdK, hat die Rente mit einer etwas n</w:t>
      </w:r>
      <w:r>
        <w:t>iedrigeren Wertentwicklung von sechs Prozent berechnet. Sein nüchternes Fazit: „Die Rente fällt überraschend niedrig aus.“ Wer 60 Jahre lang nur die staatliche Förderung spart, kann bei einer Auszahlungsphase von 20 Jahren inflationsbereinigt monatlich ger</w:t>
      </w:r>
      <w:r>
        <w:t>ade einmal mit 40 bis 50 Euro Rente rechnen. Kosten und Steuern müssen davon noch abgezogen werden.</w:t>
      </w:r>
    </w:p>
    <w:p w:rsidR="00690F71" w:rsidRDefault="008F14E5">
      <w:r>
        <w:t>Der individuelle Nutzen ist überschaubar – für den Staat wird die Förderung dagegen teuer. Die Bundesregierung rechnet zukünftig mit Kosten in Milliardenhöh</w:t>
      </w:r>
      <w:r>
        <w:t>e, mit denen sie die private Altersvorsorge in Deutschland nach dem Flop der Riester-Rente nun wieder stärken will. Beim erklärten Ziel, Altersarmut zu bekämpfen, greift das Vorhaben aus Sicht des VdK aber zu kurz. Popp sieht darin vielmehr eine staatliche</w:t>
      </w:r>
      <w:r>
        <w:t xml:space="preserve"> Förderung des privaten Vermögensaufbaus, von der auch viele profitieren dürften, die ohnehin vorsorgen können.</w:t>
      </w:r>
    </w:p>
    <w:p w:rsidR="00690F71" w:rsidRDefault="008F14E5">
      <w:pPr>
        <w:pStyle w:val="Zwischentitel"/>
      </w:pPr>
      <w:r>
        <w:t>Gesetzliche Rente</w:t>
      </w:r>
    </w:p>
    <w:p w:rsidR="00690F71" w:rsidRDefault="008F14E5">
      <w:r>
        <w:t>Für den VdK ist und bleibt die gesetzliche Rente die zentrale Säule der Altersvorsorge „Hier könnten die Steuermittel deutlich</w:t>
      </w:r>
      <w:r>
        <w:t xml:space="preserve"> effizienter und zielgenauer wirken als bei der Frühstartrente“, ist Popp sicher. Die gesetzliche Rente bietet neben der Altersabsicherung auch Leistungen für Hinterbliebene und Erwerbsgeminderte und berücksichtigt Erwerbsunterbrechungen etwa durch Pflege,</w:t>
      </w:r>
      <w:r>
        <w:t xml:space="preserve"> Kindererziehung oder Arbeitslosigkeit. Sie muss aber nach Auffassung des VdK nachhaltig finanziert und das Rentenniveau auf 53 Prozent angehoben werden. </w:t>
      </w:r>
    </w:p>
    <w:p w:rsidR="00690F71" w:rsidRDefault="008F14E5">
      <w:r>
        <w:t xml:space="preserve">Ergänzend zur gesetzlichen Rente sollten die Arbeitgeber zu einer Betriebsrente verpflichtet werden, </w:t>
      </w:r>
      <w:r>
        <w:t>die tariflich basiert und mindestens zur Hälfte vom Arbeitgeber mitfinanziert wird. Für die freiwillige private Vorsorge braucht es ein transparentes, sicheres und kostengünstiges Basisprodukt, das ohne Gewinnerzielungsabsicht von der gesetzlichen Rentenve</w:t>
      </w:r>
      <w:r>
        <w:t>rsicherung verwaltet wird.</w:t>
      </w:r>
    </w:p>
    <w:p w:rsidR="00690F71" w:rsidRDefault="008F14E5">
      <w:r>
        <w:rPr>
          <w:b/>
        </w:rPr>
        <w:t>Kristin Enge</w:t>
      </w:r>
    </w:p>
    <w:p w:rsidR="00690F71" w:rsidRDefault="008F14E5">
      <w:pPr>
        <w:pStyle w:val="berschrift1"/>
      </w:pPr>
      <w:bookmarkStart w:id="26" w:name="_Toc241048516"/>
      <w:r>
        <w:lastRenderedPageBreak/>
        <w:t>Vorbilder, Verbündete und Konkurrenten</w:t>
      </w:r>
      <w:bookmarkEnd w:id="26"/>
    </w:p>
    <w:p w:rsidR="00690F71" w:rsidRDefault="008F14E5">
      <w:pPr>
        <w:pStyle w:val="Standard-Fett"/>
      </w:pPr>
      <w:r>
        <w:t>Geschwister begleiten uns ein Leben lang – Position hat kaum Einfluss auf Persönlichkeitsentwicklung</w:t>
      </w:r>
    </w:p>
    <w:p w:rsidR="00690F71" w:rsidRDefault="008F14E5">
      <w:pPr>
        <w:pStyle w:val="Vorspann"/>
      </w:pPr>
      <w:r>
        <w:t>Geschwister gehören zu den längsten und engsten Beziehungen in unserem Leben</w:t>
      </w:r>
      <w:r>
        <w:t>. Sie können Vorbilder, Verbündete oder Konkurrenten sein. Ob und welchen Einfluss die Geschwisterposition auf die Persönlichkeitsentwicklung hat, erklärt Prof. Dr. Meike Watzlawik.</w:t>
      </w:r>
    </w:p>
    <w:p w:rsidR="00690F71" w:rsidRDefault="008F14E5">
      <w:r>
        <w:t>Einzelkinder sind egoistisch, Nesthäkchen verwöhnt und mittlere Kinder bes</w:t>
      </w:r>
      <w:r>
        <w:t xml:space="preserve">onders diplomatisch, während Erstgeborene gerne die Verantwortung übernehmen: Über Geschwisterrollen herrschen viele Vorurteile. Bestätigen lassen sie sich jedoch nicht, erläutert Meike Watzlawik. </w:t>
      </w:r>
    </w:p>
    <w:p w:rsidR="00690F71" w:rsidRDefault="008F14E5">
      <w:r>
        <w:t>Die Diplompsychologin lehrt an der Sigmund Freud-Privatuni</w:t>
      </w:r>
      <w:r>
        <w:t>versität Berlin und hat ein Buch über Geschwisterbeziehungen geschrieben. Sie sagt: „Die Geschwisterposition ist eine wichtige Kindheitserfahrung, aber kein Persönlichkeitsschicksal.“ Dennoch ist die Familie für die Entwicklung eines Menschen von zentraler</w:t>
      </w:r>
      <w:r>
        <w:t xml:space="preserve"> Bedeutung. Wichtig sind zum Beispiel die Beziehungsqualität untereinander und das Familienklima. </w:t>
      </w:r>
    </w:p>
    <w:p w:rsidR="00690F71" w:rsidRDefault="008F14E5">
      <w:r>
        <w:t>Eltern tragen zu beidem entscheidend bei. So können sie das Verhältnis der Geschwister zueinander positiv beeinflussen, indem sie jedem Kind verlässliche Zuw</w:t>
      </w:r>
      <w:r>
        <w:t>endung und eigene Zeit geben. Entscheidungen und unterschiedliche Regeln sollten erklärt und starre Rollenzuschreibungen vermieden werden. Eltern, die mit Ich-Botschaften kommunizieren und auch die Perspektiven der Kinder einnehmen, schaffen ein wertschätz</w:t>
      </w:r>
      <w:r>
        <w:t xml:space="preserve">endes Klima. Ein Streitverbot hingegen ist ungünstig. </w:t>
      </w:r>
    </w:p>
    <w:p w:rsidR="00690F71" w:rsidRDefault="008F14E5">
      <w:pPr>
        <w:pStyle w:val="Zwischentitel"/>
      </w:pPr>
      <w:r>
        <w:t>Bedürfnisse sehen</w:t>
      </w:r>
    </w:p>
    <w:p w:rsidR="00690F71" w:rsidRDefault="008F14E5">
      <w:r>
        <w:t>„Nicht jede ungleiche Behandlung ist eine Bevorzugung“, sagt Watzlawik. „Kinder können akzeptieren, dass ein Geschwisterkind zum Beispiel mehr Hilfe erhält – vorausgesetzt, sie verste</w:t>
      </w:r>
      <w:r>
        <w:t>hen die Gründe, fühlen sich mit ihren eigenen Bedürfnissen gesehen und dürfen darüber sprechen.“ Entscheidend sei nicht die mathematische Gleichheit, sondern die erlebte Beziehungsgerechtigkeit.</w:t>
      </w:r>
    </w:p>
    <w:p w:rsidR="00690F71" w:rsidRDefault="008F14E5">
      <w:r>
        <w:t>Eine Besonderheit stellen Geschwister dar, bei denen ein Kind</w:t>
      </w:r>
      <w:r>
        <w:t xml:space="preserve"> eine Behinderung hat. Während die meisten Geschwisterbeziehungen auf Augenhöhe sind oder sich dahin entwickeln, ist diese Konstellation oft asymmetrisch. </w:t>
      </w:r>
    </w:p>
    <w:p w:rsidR="00690F71" w:rsidRDefault="008F14E5">
      <w:r>
        <w:t>Das birgt auch Gefahren: Wenn das Kind mit Behinderung viel elterliche Aufmerksamkeit erhält und die Bedürfnisse des anderen Kindes aus dem Blick geraten, könnte Rivalität entstehen. Zudem würden Konflikte aus Rücksicht oder Schuldgefühlen oftmals vermiede</w:t>
      </w:r>
      <w:r>
        <w:t xml:space="preserve">n. „Aber auch das </w:t>
      </w:r>
      <w:r>
        <w:lastRenderedPageBreak/>
        <w:t xml:space="preserve">Austragen von Streits gehört zu einer normalen Geschwisterbeziehung“, erklärt die Wissenschaftlerin. </w:t>
      </w:r>
    </w:p>
    <w:p w:rsidR="00690F71" w:rsidRDefault="008F14E5">
      <w:pPr>
        <w:pStyle w:val="Zwischentitel"/>
      </w:pPr>
      <w:r>
        <w:t>Oft sehr liebevoll</w:t>
      </w:r>
    </w:p>
    <w:p w:rsidR="00690F71" w:rsidRDefault="008F14E5">
      <w:r>
        <w:t>Generell sind diese Geschwisterbeziehungen aber meist sehr liebevoll. „Insbesondere bei intellektuellen oder tiefgrei</w:t>
      </w:r>
      <w:r>
        <w:t xml:space="preserve">fenden Entwicklungsbeeinträchtigungen zeigen Studien häufig eine hohe emotionale Nähe“, berichtet Watzlawik. Die Geschwister ohne Behinderung entwickelten schon früh Selbstständigkeit, Hilfsbereitschaft und soziale Kompetenz. </w:t>
      </w:r>
    </w:p>
    <w:p w:rsidR="00690F71" w:rsidRDefault="008F14E5">
      <w:r>
        <w:t>Dennoch seien Kinder mit eine</w:t>
      </w:r>
      <w:r>
        <w:t>m Geschwister mit Behinderung stärker belastet. Wie sie damit zurechtkommen, hängt unter anderem von der Art und Schwere der Beeinträchtigung, dem Hilfebedarf und dem Entwicklungsstand des Geschwisterkinds ab. „Die Mehrzahl der Kinder ohne Behinderung entw</w:t>
      </w:r>
      <w:r>
        <w:t>ickelt keine gravierenden psychischen Auffälligkeiten“, weiß Watzlawik.</w:t>
      </w:r>
    </w:p>
    <w:p w:rsidR="00690F71" w:rsidRDefault="008F14E5">
      <w:r>
        <w:t>Eltern können entgegenwirken, wenn sie altersangemessen über die Situation aufklären, offene Familiengespräche führen und Freiräume ohne Betreuungsverantwortung ermöglichen. „Verantwor</w:t>
      </w:r>
      <w:r>
        <w:t xml:space="preserve">tung kann sinnstiftend sein, darf aber weder als selbstverständlich vorausgesetzt werden noch die eigene Entwicklung überfordern“, betont Watzlawik.   </w:t>
      </w:r>
      <w:r>
        <w:rPr>
          <w:b/>
        </w:rPr>
        <w:t>Annette Liebmann</w:t>
      </w:r>
    </w:p>
    <w:p w:rsidR="00690F71" w:rsidRDefault="008F14E5">
      <w:pPr>
        <w:pStyle w:val="berschrift1"/>
      </w:pPr>
      <w:bookmarkStart w:id="27" w:name="_Toc241048517"/>
      <w:r>
        <w:t>Im Kopf läuft ein anderes Betriebssystem</w:t>
      </w:r>
      <w:bookmarkEnd w:id="27"/>
    </w:p>
    <w:p w:rsidR="00690F71" w:rsidRDefault="008F14E5">
      <w:pPr>
        <w:pStyle w:val="Standard-Fett"/>
      </w:pPr>
      <w:r>
        <w:t>Autistische Menschen stoßen in ihrem Alltag auf</w:t>
      </w:r>
      <w:r>
        <w:t xml:space="preserve"> viele Barrieren – das will der Verein „White Unicorn“ ändern</w:t>
      </w:r>
    </w:p>
    <w:p w:rsidR="00690F71" w:rsidRDefault="008F14E5">
      <w:pPr>
        <w:pStyle w:val="Vorspann"/>
      </w:pPr>
      <w:r>
        <w:t>Der Verein „White Unicorn“ setzt sich für die Entwicklung eines autistenfreundlichen Umfelds ein. Noch immer fehlt es oft an Wissen und Verständnis für Autismus und Neurodivergenz. Das ist ein G</w:t>
      </w:r>
      <w:r>
        <w:t xml:space="preserve">rund, warum es zur Teilhabe noch ein weiter Weg ist. </w:t>
      </w:r>
    </w:p>
    <w:p w:rsidR="00690F71" w:rsidRDefault="008F14E5">
      <w:r>
        <w:t>Der Name „White Unicorn“ geht auf die Hauptfigur des Zeichentrickfilms „Das letzte Einhorn“ zurück. Er steht sinnbildlich für das Verständnis des Vereins: Das vermeintlich Andersartige soll nicht als et</w:t>
      </w:r>
      <w:r>
        <w:t xml:space="preserve">was Defizitäres betrachtet werden, sondern als Ausprägung menschlicher Vielfalt. </w:t>
      </w:r>
    </w:p>
    <w:p w:rsidR="00690F71" w:rsidRDefault="008F14E5">
      <w:r>
        <w:t>Fachleute wie Stephanie Fuhrmann gehen davon aus, dass es in Deutschland rund 1,6 Millionen autistische Menschen gibt. „Bei ihnen weicht die Funktionsweise des Gehirns und di</w:t>
      </w:r>
      <w:r>
        <w:t xml:space="preserve">e Art der Informationsverarbeitung stark von der gesellschaftlichen Norm ab“, erklärt die Wissenschaftlerin, die den Verein White Unicorn gegründet hat. Zusammen mit Dr. Mark Benecke erforschte sie im Projekt „schAUT“ („Schule und Autismus“) die Barrieren </w:t>
      </w:r>
      <w:r>
        <w:t xml:space="preserve">von Schülerinnen und Schülern an inklusiven Schulen. Die Arbeit wurde vom Bundesministerium für Bildung und Forschung gefördert. </w:t>
      </w:r>
    </w:p>
    <w:p w:rsidR="00690F71" w:rsidRDefault="008F14E5">
      <w:r>
        <w:t>Autismus ist eine neurologische Variante, die bei ungefähr zwei Prozent der Gesamtbevölkerung auftritt. „In einer Welt, die au</w:t>
      </w:r>
      <w:r>
        <w:t>f statistische Normen ausgerichtet ist, entstehen für autistische Menschen dort Barrieren, wo die Umgebung nicht zu deren detailreicher und intensiver Informationsverarbeitung passt. Unsere Untersuchungen zeigen, dass autistische Menschen überall auf Barri</w:t>
      </w:r>
      <w:r>
        <w:t>eren stoßen“, so Fuhrmann.</w:t>
      </w:r>
    </w:p>
    <w:p w:rsidR="00690F71" w:rsidRDefault="008F14E5">
      <w:pPr>
        <w:pStyle w:val="Zwischentitel"/>
      </w:pPr>
      <w:r>
        <w:t>Ein Zuviel von allem</w:t>
      </w:r>
    </w:p>
    <w:p w:rsidR="00690F71" w:rsidRDefault="008F14E5">
      <w:r>
        <w:t>Lärm und Hektik, etwa im Kindergarten, im Supermarkt oder bei Veranstaltungen, sind für autistische Menschen häufig überfordernd. Eine große Barriere sei daher das Verbot von Hilfsmitteln wie Lärmschutz-Kopfh</w:t>
      </w:r>
      <w:r>
        <w:t xml:space="preserve">örern, Computer-Tablets, Begleithunden oder Dingen zur Konzentration wie Knetbällen für die Hände in der Schule oder im Beruf – das macht Teilhabe unmöglich, so Fuhrmann. </w:t>
      </w:r>
    </w:p>
    <w:p w:rsidR="00690F71" w:rsidRDefault="008F14E5">
      <w:r>
        <w:t>Sie beklagt, dass Autismus bis heute oft als Krankheit dargestellt wird. Diese Einsc</w:t>
      </w:r>
      <w:r>
        <w:t>hätzung wurzelt in der Zeit des Nationalsozialismus, als Autismus als Fehler oder Folge falscher Erziehung galt. „Tatsächlich ist es aber eine angeborene Art des Gehirns – wie ein anderes Betriebssystem auf einem Computer. Linux und Windows haben ja auch u</w:t>
      </w:r>
      <w:r>
        <w:t>nterschiedliche Ansprüche. Es ist eine andere Art zu denken, sich zu bewegen und die Welt wahrzunehmen.“ Autistische Menschen brauchen daher Unterstützung.</w:t>
      </w:r>
    </w:p>
    <w:p w:rsidR="00690F71" w:rsidRDefault="008F14E5">
      <w:r>
        <w:t>Die von der Bundesregierung geplante Kürzung bei der Schulbegleitung im Bereich der Hilfe und Pflege</w:t>
      </w:r>
      <w:r>
        <w:t xml:space="preserve"> nennt Fuhrmann „verantwortungslos“. „Autistische Kinder sind oft geistig fit, brauchen aber entwicklungsbedingt länger Unterstützung, etwa beim Organisieren ihres Essens oder bei der Hygiene- und Toilettenversorgung. Wenn ein Kind nur ganz bestimmte Leben</w:t>
      </w:r>
      <w:r>
        <w:t>smittel isst, muss das in den Schulalltag integriert werden. Pflegerische Assistenz im Bereich Hygiene ist nötig, um den Regelbetrieb nicht aufzuhalten. Ohne diese Hilfe bleibt ihnen Bildung verwehrt. Sie werden in Sonderschulen abgeschoben. Das ist mensch</w:t>
      </w:r>
      <w:r>
        <w:t>enrechtswidrig und verstößt gegen die Verfassung.“</w:t>
      </w:r>
    </w:p>
    <w:p w:rsidR="00690F71" w:rsidRDefault="008F14E5">
      <w:pPr>
        <w:pStyle w:val="Zwischentitel"/>
      </w:pPr>
      <w:r>
        <w:t>Barrieren abbauen</w:t>
      </w:r>
    </w:p>
    <w:p w:rsidR="00690F71" w:rsidRDefault="008F14E5">
      <w:r>
        <w:t>Fuhrmann begrüßt den Einsatz von schulischen Fachkräften, wie in Berlin praktiziert: „Das ist ein wichtiger Schritt weg von der ‚Hilfe zur Erziehung‘ hin zur professionellen Schulentwickl</w:t>
      </w:r>
      <w:r>
        <w:t xml:space="preserve">ung. Bildung ist ein Grundrecht.“ Ziel müsse sein, die Ressourcen für Fachstandards zu bündeln, damit Pädagoginnen und Pädagogen Barrieren für ganze Klassen strukturell abbauen, etwa durch Lern-, Bewegungs-, Kreativ- und Ruheräume oder Hybridunterricht. </w:t>
      </w:r>
      <w:r>
        <w:rPr>
          <w:b/>
        </w:rPr>
        <w:t>Jö</w:t>
      </w:r>
      <w:r>
        <w:rPr>
          <w:b/>
        </w:rPr>
        <w:t>rg Ciszewski</w:t>
      </w:r>
    </w:p>
    <w:p w:rsidR="00690F71" w:rsidRDefault="008F14E5">
      <w:pPr>
        <w:pStyle w:val="berschrift1"/>
      </w:pPr>
      <w:bookmarkStart w:id="28" w:name="_Toc241048518"/>
      <w:r>
        <w:t>Digitale Kontrollen allein reichen nicht</w:t>
      </w:r>
      <w:bookmarkEnd w:id="28"/>
    </w:p>
    <w:p w:rsidR="00690F71" w:rsidRDefault="008F14E5">
      <w:pPr>
        <w:pStyle w:val="Standard-Fett"/>
      </w:pPr>
      <w:r>
        <w:t>Wenn Scan-Cars keinen Parkausweis finden, muss ein Mensch überprüfen</w:t>
      </w:r>
    </w:p>
    <w:p w:rsidR="00690F71" w:rsidRDefault="008F14E5">
      <w:pPr>
        <w:pStyle w:val="Vorspann"/>
      </w:pPr>
      <w:r>
        <w:t>Kamerafahrzeuge können bei digitalen Parkkontrollen die blauen und orangenen Parkausweise für Menschen mit Schwerbehinderung nicht er</w:t>
      </w:r>
      <w:r>
        <w:t xml:space="preserve">kennen. Ein Bußgeld müssen Betroffene dennoch nicht befürchten. </w:t>
      </w:r>
    </w:p>
    <w:p w:rsidR="00690F71" w:rsidRDefault="008F14E5">
      <w:r>
        <w:t xml:space="preserve">Die Überprüfung von Parkverstößen erfolgt zunehmend digital anstatt durch Mitarbeitende des Ordnungsamtes. Kontrollfahrzeuge, sogenannte Scan-Cars, fahren dazu durch die Straßen und erfassen </w:t>
      </w:r>
      <w:r>
        <w:t xml:space="preserve">über Dachkameras das Kennzeichen, den Standort sowie Uhrzeit und Datum des parkenden Fahrzeugs. Die Kennzeichen werden automatisiert mit hinterlegten Parkberechtigungen abgeglichen. </w:t>
      </w:r>
    </w:p>
    <w:p w:rsidR="00690F71" w:rsidRDefault="008F14E5">
      <w:r>
        <w:t>Das kann ein bezahlter Parkschein, aber auch ein Handyticket oder ein dig</w:t>
      </w:r>
      <w:r>
        <w:t>italer Bewohnerparkausweis sein. Allerdings fehlen bislang die Voraussetzungen dafür, blaue beziehungsweise orangene Parkausweise für Menschen mit einer Schwerbehinderung beim Datenabgleich zu berücksichtigen. Aus diesem Grund haben sich in den vergangenen</w:t>
      </w:r>
      <w:r>
        <w:t xml:space="preserve"> Wochen viele Mitglieder an den Sozialverband VdK gewandt. Sie befürchten, dass sie künftig Bußgeldbescheide erhalten, obwohl sie mit ihrem blauen oder orangenen Parkausweis parkberechtigt sind. </w:t>
      </w:r>
    </w:p>
    <w:p w:rsidR="00690F71" w:rsidRDefault="008F14E5">
      <w:pPr>
        <w:pStyle w:val="Zwischentitel"/>
      </w:pPr>
      <w:r>
        <w:t>Innerhalb von 24 Stunden</w:t>
      </w:r>
    </w:p>
    <w:p w:rsidR="00690F71" w:rsidRDefault="008F14E5">
      <w:r>
        <w:t>Dorothee Czennia, die beim VdK Deut</w:t>
      </w:r>
      <w:r>
        <w:t>schland Referentin für Behindertenpolitik ist, versteht die Sorgen und erläutert die bestehende Rechtslage. „Wenn das System nach dem Scannen des Kennzeichens keinen Parknachweis findet, muss innerhalb von 24 Stunden vor Ort ein Mensch kontrollieren, ob ta</w:t>
      </w:r>
      <w:r>
        <w:t xml:space="preserve">tsächlich kein Parkausweis vorliegt. Die automatisierte Versendung eines Bußgeldbescheides ohne menschliche Kontrolle ist nur zulässig, wenn sichergestellt ist, dass alle in Betracht kommenden Parkberechtigungen für einen Abgleich zur Verfügung stehen. Da </w:t>
      </w:r>
      <w:r>
        <w:t xml:space="preserve">Behindertenparkausweise nicht digital hinterlegt und nicht kennzeichengebunden sind, ist diese Voraussetzung derzeit nicht erfüllt. Daher ist die menschliche Sichtkontrolle in diesen Fällen zwingend. Ohne eine solche Kontrolle vor Ort wäre die Ahndung mit </w:t>
      </w:r>
      <w:r>
        <w:t>einem Bußgeld rechtswidrig.“ Das gelte allerdings nur für Parkplätze im öffentlichen Raum, nicht für private Parkflächen, zum Beispiel von Supermärkten, oder rein privat bewirtschaftete Parkplätze, erklärt Czennia.</w:t>
      </w:r>
    </w:p>
    <w:p w:rsidR="00690F71" w:rsidRDefault="008F14E5">
      <w:r>
        <w:t>Digitale Parkausweiskontrollen befinden s</w:t>
      </w:r>
      <w:r>
        <w:t>ich vielerorts noch in der Testphase. Der VdK sieht in dieser Technik grundsätzlich Vorteile, insbesondere für Menschen mit Behinderung. Denn digitale Systeme können Falschparker auf Behindertenstellplätzen schneller und flächendeckender erkennen als manue</w:t>
      </w:r>
      <w:r>
        <w:t>lle Kontrollen. Dafür müssen Behindertenparkausweise künftig digital abrufbar und abgleichbar sein. Der VdK setzt sich daher politisch für Lösungen wie ein bundesweites Register aller Behindertenparkausweise ein.</w:t>
      </w:r>
    </w:p>
    <w:p w:rsidR="00690F71" w:rsidRDefault="008F14E5">
      <w:r>
        <w:rPr>
          <w:b/>
        </w:rPr>
        <w:t>Jörg Ciszewski</w:t>
      </w:r>
    </w:p>
    <w:p w:rsidR="00690F71" w:rsidRDefault="008F14E5">
      <w:r>
        <w:t>VdK-TV-Magazin in Sport1</w:t>
      </w:r>
    </w:p>
    <w:p w:rsidR="00690F71" w:rsidRDefault="008F14E5">
      <w:pPr>
        <w:pStyle w:val="berschrift1"/>
      </w:pPr>
      <w:bookmarkStart w:id="29" w:name="_Toc241048519"/>
      <w:r>
        <w:t>„mi</w:t>
      </w:r>
      <w:r>
        <w:t>teinander“ im Oktober</w:t>
      </w:r>
      <w:bookmarkEnd w:id="29"/>
    </w:p>
    <w:p w:rsidR="00690F71" w:rsidRDefault="008F14E5">
      <w:r>
        <w:t>Im Oktober hat VdK-Präsidentin Verena Bentele einen interessanten Gesprächspartner zu Gast. Der Journalist Andreas Hoffmann, der unter anderem für das Magazin „Stern“ schreibt, ist nicht nur ein Kenner und Insider des Berliner Politikbetriebs. Hoffmann hat</w:t>
      </w:r>
      <w:r>
        <w:t xml:space="preserve"> sich vor allem auch intensiv mit den sozialen Sicherungssystemen auseinandergesetzt und dabei aufschlussreiche Erkenntnisse gewonnen. In seinem vielbeachteten Buch „Die erfundene Bedrohung“ setzt er sich mit dem demografischen Wandel und dessen vermeintli</w:t>
      </w:r>
      <w:r>
        <w:t xml:space="preserve">chen negativen Folgen für die Wirtschaft auseinander. Dabei rät er zu mehr Gelassenheit und warnt davor, diesen Wandel wie eine Naturkatastrophe anzusehen, gegen die man nichts ausrichten kann. </w:t>
      </w:r>
    </w:p>
    <w:p w:rsidR="00690F71" w:rsidRDefault="008F14E5">
      <w:r>
        <w:t>Tatsächlich können einige Maßnahmen die zunehmende Alterung d</w:t>
      </w:r>
      <w:r>
        <w:t>er Bevölkerung ausgleichen. Dazu gehört eine kluge Arbeitsmarktpolitik, die es Älteren möglich macht, länger zu arbeiten, und die viele Asylbewerber und Geflüchtete nicht grundsätzlich vom Erwerbsleben ausschließt. Dank einer verbesserten Kinderbetreuung w</w:t>
      </w:r>
      <w:r>
        <w:t xml:space="preserve">ürden mehr Frauen dazu befähigt, in Vollzeit berufstätig zu sein. </w:t>
      </w:r>
    </w:p>
    <w:p w:rsidR="00690F71" w:rsidRDefault="008F14E5">
      <w:r>
        <w:t>Immerhin gibt es bereits jetzt sieben Millionen mehr sozialversicherungspflichtig Beschäftigte als zur Jahrtausendwende. Mit mehr als 46 Millionen Erwerbstätigen sind heute mehr Menschen in</w:t>
      </w:r>
      <w:r>
        <w:t xml:space="preserve"> Arbeit als je zuvor in Deutschland. Und wie Hoffmann anhand eindeutiger Zahlen belegen kann: Auch unser Rentensystem ist deutlich stabiler, als immer wieder behauptet wird – eine Einschätzung, die der VdK teilt. </w:t>
      </w:r>
    </w:p>
    <w:p w:rsidR="00690F71" w:rsidRDefault="008F14E5">
      <w:r>
        <w:rPr>
          <w:b/>
        </w:rPr>
        <w:t>Freuen Sie sich auf diesen interessanten B</w:t>
      </w:r>
      <w:r>
        <w:rPr>
          <w:b/>
        </w:rPr>
        <w:t>eitrag!</w:t>
      </w:r>
    </w:p>
    <w:p w:rsidR="00690F71" w:rsidRDefault="008F14E5">
      <w:r>
        <w:rPr>
          <w:b/>
        </w:rPr>
        <w:t>Oktober-Folge auf Sport1</w:t>
      </w:r>
    </w:p>
    <w:p w:rsidR="00690F71" w:rsidRDefault="008F14E5">
      <w:r>
        <w:rPr>
          <w:b/>
        </w:rPr>
        <w:t>am 17.  Oktober</w:t>
      </w:r>
      <w:r>
        <w:t xml:space="preserve"> um 13  Uhr.</w:t>
      </w:r>
    </w:p>
    <w:p w:rsidR="00690F71" w:rsidRDefault="008F14E5">
      <w:r>
        <w:t>Wiederholungen am 20.  Oktober um 12.30  Uhr sowie am 22.  Oktober um 1  Uhr.</w:t>
      </w:r>
    </w:p>
    <w:p w:rsidR="00690F71" w:rsidRDefault="008F14E5">
      <w:r>
        <w:t>Nach TV-Ausstrahlung jederzeit abrufbar auf vdk.de</w:t>
      </w:r>
    </w:p>
    <w:p w:rsidR="00690F71" w:rsidRDefault="008F14E5">
      <w:pPr>
        <w:pStyle w:val="berschrift1"/>
      </w:pPr>
      <w:bookmarkStart w:id="30" w:name="_Toc241048520"/>
      <w:r>
        <w:t>Aktuelle Filme auf VdK-TV</w:t>
      </w:r>
      <w:bookmarkEnd w:id="30"/>
    </w:p>
    <w:p w:rsidR="00690F71" w:rsidRDefault="008F14E5">
      <w:r>
        <w:rPr>
          <w:b/>
        </w:rPr>
        <w:t>„Rat &amp; Tat“</w:t>
      </w:r>
    </w:p>
    <w:p w:rsidR="00690F71" w:rsidRDefault="008F14E5">
      <w:r>
        <w:t>Die neue Grundsicherung, die</w:t>
      </w:r>
      <w:r>
        <w:t xml:space="preserve"> das Bürgergeld ablöst, ist bereits seit dem 1. Juli in Kraft. Nach Ansicht des VdK ist sie ein Ausdruck des Misstrauens gegenüber Menschen, die Leistungen des Sozialstaats in Anspruch nehmen. Bei der Grundsicherung wurden mehrere Regelungen deutlich versc</w:t>
      </w:r>
      <w:r>
        <w:t>härft. Sie betreffen zum Beispiel das Schonvermögen und die Wohnkosten. Vor allem gilt ab sofort: Jede verfügbare Arbeit muss angenommen werden. Sonst drohen Abzüge. Die wichtigsten Regelungen erläutert VdK-Rechtsexperte Ronny Hübsch im Video aus der Reihe</w:t>
      </w:r>
      <w:r>
        <w:t xml:space="preserve"> „Rat &amp; Tat“. </w:t>
      </w:r>
    </w:p>
    <w:p w:rsidR="00690F71" w:rsidRDefault="008F14E5">
      <w:r>
        <w:rPr>
          <w:b/>
        </w:rPr>
        <w:t>„Klipp &amp; Klar“</w:t>
      </w:r>
    </w:p>
    <w:p w:rsidR="00690F71" w:rsidRDefault="008F14E5">
      <w:r>
        <w:t xml:space="preserve"> Die Debatte über die anstehenden Sozialstaatsreformen setzt sich fort. Immer noch scheint ungewiss, was am Ende beschlossen und in Gesetzesform gegossen wird. In dieser Folge von „Klipp &amp; Klar“ setzt sich VdK-Präsidentin Vere</w:t>
      </w:r>
      <w:r>
        <w:t>na Bentele grundsätzlich mit dem Begriff der „Reform“ auseinander. Der Duden definiert „Reform“ als „planvolle Umgestaltung bestehender Verhältnisse“. Aber bei dem Hin und Her, das im Augenblick herrscht, wirkt das Ganze eher planlos. Ein durchgängiges Mot</w:t>
      </w:r>
      <w:r>
        <w:t>iv lässt sich jedoch entdecken: Gekürzt werden soll auf jeden Fall. Aber nur die Ausgaben zu beschneiden und an der Einnahmenseite nichts zu ändern, verdiene laut Bentele nicht, Reform genannt zu werden. Sie fordert, hohe Einkommen und große Vermögen stärk</w:t>
      </w:r>
      <w:r>
        <w:t>er zur Finanzierung des Sozialstaats heranzuziehen.</w:t>
      </w:r>
    </w:p>
    <w:p w:rsidR="00690F71" w:rsidRDefault="008F14E5">
      <w:r>
        <w:rPr>
          <w:b/>
        </w:rPr>
        <w:t>„SBV – Inklusives Wissen“</w:t>
      </w:r>
    </w:p>
    <w:p w:rsidR="00690F71" w:rsidRDefault="008F14E5">
      <w:r>
        <w:t>2023 betrug die Fehlzeit infolge einer psychischen Erkrankung im Schnitt 33 Tage. Studien zeigen außerdem, dass fast die Hälfte aller Anträge auf Berufsunfähigkeit auf psychische</w:t>
      </w:r>
      <w:r>
        <w:t xml:space="preserve"> Erkrankungen zurückzuführen sind. Arbeitnehmerinnen und -nehmer mit einer Schwerbehinderung können davon in besonders hohem Maße betroffen sein, weil sie häufig noch stärker als ihre Kolleginnen und Kollegen auf eine an ihre individuellen Bedürfnisse ange</w:t>
      </w:r>
      <w:r>
        <w:t>passte Arbeitsorganisation und -umgebung angewiesen sind. Um zu verhindern, dass Schwerbehinderte dauerhaft psychischen Belastungen ausgesetzt sind, die am Ende zu einer Erkrankung führen, sollten Betriebe und Dienststellen regelmäßig eine Gefährdungsbeurt</w:t>
      </w:r>
      <w:r>
        <w:t xml:space="preserve">eilung durchführen. VdK-Juristin Kim Blum erklärt, weshalb der SBV hier eine Schlüsselrolle zukommt. </w:t>
      </w:r>
    </w:p>
    <w:p w:rsidR="00690F71" w:rsidRDefault="008F14E5">
      <w:pPr>
        <w:pStyle w:val="berschrift1"/>
      </w:pPr>
      <w:bookmarkStart w:id="31" w:name="_Toc241048521"/>
      <w:r>
        <w:t>Dem Fluss die Landschaft zurückgeben</w:t>
      </w:r>
      <w:bookmarkEnd w:id="31"/>
    </w:p>
    <w:p w:rsidR="00690F71" w:rsidRDefault="008F14E5">
      <w:pPr>
        <w:pStyle w:val="Standard-Fett"/>
      </w:pPr>
      <w:r>
        <w:t>Renaturierungsprojekte bringen Regionen und Städten Erholungsräume und Wirtschaftswachstum</w:t>
      </w:r>
    </w:p>
    <w:p w:rsidR="00690F71" w:rsidRDefault="008F14E5">
      <w:pPr>
        <w:pStyle w:val="Vorspann"/>
      </w:pPr>
      <w:r>
        <w:t>Um Flüsse besser nutzbar z</w:t>
      </w:r>
      <w:r>
        <w:t>u machen, wurden diese in Deutschland jahrzehntelang begradigt, ausgebaggert und kanalisiert. Oft mit schweren Folgen, bis hin zu Überflutungen und Landschaftsverödungen. Renaturierungsprojekte wie an der Unteren Havel in Brandenburg zeigen, wie Flüsse wie</w:t>
      </w:r>
      <w:r>
        <w:t>der Teil einer intakten Umwelt werden können und dabei sogar Tourismus und Wirtschaft ankurbeln.</w:t>
      </w:r>
    </w:p>
    <w:p w:rsidR="00690F71" w:rsidRDefault="008F14E5">
      <w:r>
        <w:t xml:space="preserve">Das Renaturierungsprojekt der Unteren Havel startete der NABU (Naturschutzbund Deutschland) vor 16 Jahren, es ist Europas größte Fluss-Renaturierung. 2010 war </w:t>
      </w:r>
      <w:r>
        <w:t>die Havel noch den Anforderungen der Schifffahrt unterworfen, ohne Rücksicht auf die Natur. Die Landschaft, die von der Unteren Havel durchzogen wird, war geprägt von vielen Begradigungen, Deichen und versiegelten Ufern. Algen schwammen auf dem trüben Flus</w:t>
      </w:r>
      <w:r>
        <w:t>swasser. Schon in den 1980er- Jahren gab es erste ehrenamtliche Initiativen zur Rettung des Flusses. 90 Kilometer Flusslauf umfasst heute das Sanierungsgebiet.</w:t>
      </w:r>
    </w:p>
    <w:p w:rsidR="00690F71" w:rsidRDefault="008F14E5">
      <w:r>
        <w:t>Die Landschaft zwischen den Orten Pritzerbe im Süden und Gnevsdorf im Norden hat sich mittlerwei</w:t>
      </w:r>
      <w:r>
        <w:t>le sichtbar erholt. Laut NABU gilt die Untere Havelniederung jetzt sogar als „das bedeutsamste und größte Binnenfeuchtgebiet im westlichen Mitteleuropa“. Mehr als 1100 seltene und stark gefährdete Arten seien wieder heimisch geworden, zum Beispiel der Kieb</w:t>
      </w:r>
      <w:r>
        <w:t>itz und die Uferschnepfe.</w:t>
      </w:r>
    </w:p>
    <w:p w:rsidR="00690F71" w:rsidRDefault="008F14E5">
      <w:pPr>
        <w:pStyle w:val="Zwischentitel"/>
      </w:pPr>
      <w:r>
        <w:t>Altarme anschließen</w:t>
      </w:r>
    </w:p>
    <w:p w:rsidR="00690F71" w:rsidRDefault="008F14E5">
      <w:r>
        <w:t>Aus einer über weite Strecken geraden Schiffsstraße, ist an vielen Stellen ein kurvenreicher Fluss geworden. Dafür werden Seitenarme, die für den Flussausbau abgetrennt worden waren, wieder an den Hauptstrom angeschlossen. Durch diese sogenannten Altarme b</w:t>
      </w:r>
      <w:r>
        <w:t xml:space="preserve">ilden sich mehrere Flussbetten, die sich auch laufend verändern. Die Havel kann sich so wieder richtig in der Landschaft ausbreiten. Bis 2033 sollen 23 Altarme angeschlossen sein. </w:t>
      </w:r>
    </w:p>
    <w:p w:rsidR="00690F71" w:rsidRDefault="008F14E5">
      <w:r>
        <w:t>Durch den Rückbau von Fluss- und Uferverbauungen entstanden natürliche Über</w:t>
      </w:r>
      <w:r>
        <w:t xml:space="preserve">flutungsräume und neue Ökosysteme. Zusätzlich wurden 42 Hektar Auenwald geschaffen und über 600 Hektar altes Auenland in die Flusslandschaft integriert. </w:t>
      </w:r>
    </w:p>
    <w:p w:rsidR="00690F71" w:rsidRDefault="008F14E5">
      <w:pPr>
        <w:pStyle w:val="Zwischentitel"/>
      </w:pPr>
      <w:r>
        <w:t>Wirtschaft profitiert</w:t>
      </w:r>
    </w:p>
    <w:p w:rsidR="00690F71" w:rsidRDefault="008F14E5">
      <w:r>
        <w:t>Das Havelland ist ein beliebtes Ausflugsziel geworden. Insbesondere aus Berlin u</w:t>
      </w:r>
      <w:r>
        <w:t xml:space="preserve">nd Umgebung kommen viele Gäste als Tagestouristinnen und -touristen. Beliebt sind Aktivitäten am und im Wasser wie Kanu- oder Kajakfahrten, Fahrradtouren und Vogelbeobachtungen. </w:t>
      </w:r>
    </w:p>
    <w:p w:rsidR="00690F71" w:rsidRDefault="008F14E5">
      <w:r>
        <w:t>„Das Havelland profitiert vom Rekordtourismus in Brandenburg. Jeder Gast stär</w:t>
      </w:r>
      <w:r>
        <w:t xml:space="preserve">kt Gastronomie, Beherbergung, Handel und Freizeitwirtschaft. Naturtourismus ist längst kein Nischenthema mehr, sondern ein wichtiger Wirtschaftsfaktor für die Region“, sagt Matthias Kühn, Geschäftsführer des Tourismusverbands Havelland. Der Tourismus soll </w:t>
      </w:r>
      <w:r>
        <w:t>trotz der neuen Attraktivität des Havellandes langsam ausgebaut werden. Schon jetzt profitieren Reiseanbieter und der Einzelhandel in der Region. Der Übernachtungstourismus soll noch angekurbelt werden.</w:t>
      </w:r>
    </w:p>
    <w:p w:rsidR="00690F71" w:rsidRDefault="008F14E5">
      <w:r>
        <w:t>„Intakte Natur ist ein Wirtschaftsfaktor, dazu tragen</w:t>
      </w:r>
      <w:r>
        <w:t xml:space="preserve"> Renaturierungsprojekte wie das Havel- Projekt heute und in Zukunft bei“, heißt es vom NABU. Man stehe dem Naturtourismus positiv gegenüber, betont der Verband weiter. Trotzdem solle es an der Unteren Havel nicht zum Massentourismus kommen. Naturverträglic</w:t>
      </w:r>
      <w:r>
        <w:t>hkeit und Nachhaltigkeit müssten bei der Entwicklung des Tourismusstandorts Priorität haben.</w:t>
      </w:r>
    </w:p>
    <w:p w:rsidR="00690F71" w:rsidRDefault="008F14E5">
      <w:r>
        <w:t>Der NABU weist noch auf weitere Wirtschaftsfaktoren hin: Ein gesundes Ökosystem wie die Untere Havel sichert Wasser, fruchtbare Böden, Klimaregulation und den Schu</w:t>
      </w:r>
      <w:r>
        <w:t>tz vor Extremwettern.</w:t>
      </w:r>
    </w:p>
    <w:p w:rsidR="00690F71" w:rsidRDefault="008F14E5">
      <w:pPr>
        <w:pStyle w:val="Zwischentitel"/>
      </w:pPr>
      <w:r>
        <w:t>Isar darf wieder flimmern</w:t>
      </w:r>
    </w:p>
    <w:p w:rsidR="00690F71" w:rsidRDefault="008F14E5">
      <w:r>
        <w:t>Der Fluss, der das Stadtbild Münchens prägt, entspringt in den Alpen und ist ein echter Wildfluss. Von der „reißenden Isar“, wie sie genannt wird, war nicht mehr viel zu erkennen, als im Jahr 2000 im Stadtgebiet die Flusssanierung begann. Hier waren es nic</w:t>
      </w:r>
      <w:r>
        <w:t xml:space="preserve">ht die Schifffahrt, sondern Hochwasserschutz und Industrie, die zur Flussverbauung geführt hatten. Bis 2007 wurde die Isar auf acht Kilometern im Stadtgebiet so naturnah wie möglich ausgebaut. </w:t>
      </w:r>
    </w:p>
    <w:p w:rsidR="00690F71" w:rsidRDefault="008F14E5">
      <w:r>
        <w:t>Die für die Isar typischen hellen und breiten Schotterbetten s</w:t>
      </w:r>
      <w:r>
        <w:t>ollten deutlicher zur Geltung kommen, damit sich der Fluss je nach Wasserstand und Fließgeschwindigkeit immer wieder anders seinen Weg suchen kann. In mehreren Bauabschnitten wurden deshalb steinerne Uferkanten abgetragen, das Flussbett ausgeweitet und die</w:t>
      </w:r>
      <w:r>
        <w:t xml:space="preserve"> Ufer abgeflacht. Zusätzlich wurde Kies aufgeschüttet, und es wurden Kiesinseln angelegt. An einigen Stellen blieben die Uferbereiche ungesichert und sich selbst überlassen. Dort entwickelte sich eine eigenständige, vielfältige Bewachsung. </w:t>
      </w:r>
    </w:p>
    <w:p w:rsidR="00690F71" w:rsidRDefault="008F14E5">
      <w:r>
        <w:t>Die Gesamtkoste</w:t>
      </w:r>
      <w:r>
        <w:t>n des sogenannten Isar-Plans betrugen rund 28,1 Millionen Euro. Diese Investition, die damals auch kontrovers diskutiert wurde, ist längst amortisiert. Denn nicht zuletzt das offene und beliebte Isargelände mitten in der Stadt trägt zur hohen Attraktivität</w:t>
      </w:r>
      <w:r>
        <w:t xml:space="preserve"> Münchens bei. Auch das Wasser hat eine gute Badequalität. „Die Isar darf wieder flimmern“, sagen viele Münchnerinnen und Münchner heute stolz. </w:t>
      </w:r>
    </w:p>
    <w:p w:rsidR="00690F71" w:rsidRDefault="008F14E5">
      <w:r>
        <w:rPr>
          <w:b/>
        </w:rPr>
        <w:t>Dr. Bettina Schubarth</w:t>
      </w:r>
    </w:p>
    <w:p w:rsidR="00690F71" w:rsidRDefault="008F14E5">
      <w:pPr>
        <w:pStyle w:val="berschrift1"/>
      </w:pPr>
      <w:bookmarkStart w:id="32" w:name="_Toc241048522"/>
      <w:r>
        <w:t>Das bringt der Oktober</w:t>
      </w:r>
      <w:bookmarkEnd w:id="32"/>
    </w:p>
    <w:p w:rsidR="00690F71" w:rsidRDefault="008F14E5">
      <w:pPr>
        <w:pStyle w:val="Standard-Fett"/>
      </w:pPr>
      <w:r>
        <w:t>Sommerzeitende, Alkoholverbot und Heckenschneiden</w:t>
      </w:r>
    </w:p>
    <w:p w:rsidR="00690F71" w:rsidRDefault="008F14E5">
      <w:pPr>
        <w:pStyle w:val="Vorspann"/>
      </w:pPr>
      <w:r>
        <w:t>Nicht nur zum Ja</w:t>
      </w:r>
      <w:r>
        <w:t xml:space="preserve">hreswechsel treten Änderungen in Kraft, auch der Oktober bietet oft Neuerungen. </w:t>
      </w:r>
    </w:p>
    <w:p w:rsidR="00690F71" w:rsidRDefault="008F14E5">
      <w:pPr>
        <w:pStyle w:val="Zwischentitel"/>
      </w:pPr>
      <w:r>
        <w:t>Winterzeit startet</w:t>
      </w:r>
    </w:p>
    <w:p w:rsidR="00690F71" w:rsidRDefault="008F14E5">
      <w:r>
        <w:t>Selbst auf den heißesten Sommer folgt wieder die kühlere und dunklere Jahreszeit. Am 25. Oktober, dem letzten Sonntag des Monats, startet die Winterzeit. In</w:t>
      </w:r>
      <w:r>
        <w:t xml:space="preserve"> der Nacht auf Sonntag werden die Uhren von 3 Uhr auf 2 Uhr zurückgestellt. Am Sonntag, 28. März 2027, wird wieder an der Uhr gedreht. Diesmal nach vorne. Dann beginnt die Sommerzeit. </w:t>
      </w:r>
    </w:p>
    <w:p w:rsidR="00690F71" w:rsidRDefault="008F14E5">
      <w:pPr>
        <w:pStyle w:val="Zwischentitel"/>
      </w:pPr>
      <w:r>
        <w:t>Kein Alkohol am Bahnhof</w:t>
      </w:r>
    </w:p>
    <w:p w:rsidR="00690F71" w:rsidRDefault="008F14E5">
      <w:r>
        <w:t>An einigen Bahnhöfen in Deutschland ist der Ver</w:t>
      </w:r>
      <w:r>
        <w:t>kauf von Alkohol bereits untersagt. Mit einem generellen Alkoholverbot an allen Bahnhöfen will die Deutsche Bahn nun das Sicherheitsgefühl der Fahrgäste und Beschäftigten erhöhen. Zudem soll der häufig beklagten Verschmutzung der Bahnhofsanlagen entgegenge</w:t>
      </w:r>
      <w:r>
        <w:t xml:space="preserve">wirkt werden. Das Verbot will die Bahn bis zum 15. Oktober umsetzen. </w:t>
      </w:r>
    </w:p>
    <w:p w:rsidR="00690F71" w:rsidRDefault="008F14E5">
      <w:r>
        <w:t xml:space="preserve">Untersagt ist das Konsumieren von Alkohol im gesamten Bahnhofsbereich, also auch auf den Bahnsteigen. Wer dagegen verstößt, muss mit einem Platzverweis rechnen, im Wiederholungsfall mit </w:t>
      </w:r>
      <w:r>
        <w:t>Hausverbot.</w:t>
      </w:r>
    </w:p>
    <w:p w:rsidR="00690F71" w:rsidRDefault="008F14E5">
      <w:pPr>
        <w:pStyle w:val="Zwischentitel"/>
      </w:pPr>
      <w:r>
        <w:t>Heckenschnitt erlaubt</w:t>
      </w:r>
    </w:p>
    <w:p w:rsidR="00690F71" w:rsidRDefault="008F14E5">
      <w:r>
        <w:t xml:space="preserve">Im Herbst fällt im eigenen Garten viel Arbeit an. Dazu gehört für viele auch das Stutzen und Schneiden von Hecken, Sträuchern und Bäumen. Das ist ab dem 1. Oktober wieder uneingeschränkt erlaubt. </w:t>
      </w:r>
    </w:p>
    <w:p w:rsidR="00690F71" w:rsidRDefault="008F14E5">
      <w:r>
        <w:t>Bis Anfang März 2027 darf</w:t>
      </w:r>
      <w:r>
        <w:t xml:space="preserve"> der Schnitt sogar recht radikal ausfallen. Danach beginnt die Schonzeit für nistende Vögel und andere Tiere, die das Buschwerk im Garten nutzen.  </w:t>
      </w:r>
      <w:r>
        <w:rPr>
          <w:b/>
        </w:rPr>
        <w:t>Dr. Bettina Schubarth</w:t>
      </w:r>
    </w:p>
    <w:p w:rsidR="00690F71" w:rsidRDefault="008F14E5">
      <w:pPr>
        <w:pStyle w:val="berschrift1"/>
      </w:pPr>
      <w:bookmarkStart w:id="33" w:name="_Toc241048523"/>
      <w:r>
        <w:t>Einfach liegenlassen</w:t>
      </w:r>
      <w:bookmarkEnd w:id="33"/>
    </w:p>
    <w:p w:rsidR="00690F71" w:rsidRDefault="008F14E5">
      <w:pPr>
        <w:pStyle w:val="Standard-Fett"/>
      </w:pPr>
      <w:r>
        <w:t>Im welken Laub überwintern Insekten</w:t>
      </w:r>
    </w:p>
    <w:p w:rsidR="00690F71" w:rsidRDefault="008F14E5">
      <w:pPr>
        <w:pStyle w:val="Vorspann"/>
      </w:pPr>
      <w:r>
        <w:t>Ein aufgeräumter Garten ist ni</w:t>
      </w:r>
      <w:r>
        <w:t>cht unbedingt das Beste für die Natur. Wer abgefallenes Laub in den Beeten liegen und abgeblühte Pflanzen und Stauden stehen lässt, tut Insekten Gutes.</w:t>
      </w:r>
    </w:p>
    <w:p w:rsidR="00690F71" w:rsidRDefault="008F14E5">
      <w:r>
        <w:t>Laut Bundeszentrum für Landwirtschaft ist die Anzahl der Insekten in Deutschland seit 1990 um 76 Prozent</w:t>
      </w:r>
      <w:r>
        <w:t xml:space="preserve"> zurückgegangen. Damit verbunden ist ein Rückgang der Artenvielfalt. Mit dem Insektensterben schwindet die Nahrungsgrundlage für heimische Vögel, was wiederum deren Bestand bedroht. Ursachen sind die intensive Landwirtschaft, aber auch die Versiegelung von</w:t>
      </w:r>
      <w:r>
        <w:t xml:space="preserve"> Flächen.</w:t>
      </w:r>
    </w:p>
    <w:p w:rsidR="00690F71" w:rsidRDefault="008F14E5">
      <w:r>
        <w:t xml:space="preserve">Wer einen „unordentlichen“ Garten hat, kann Insekten schützen. Laut Naturschutzbund Österreich nutzen viele Flug- und Krabbeltiere hohle Pflanzenstängel in den Beeten als Schutzräume für den Winter. Viele legen darin ihre Eier ab, auch die stark </w:t>
      </w:r>
      <w:r>
        <w:t>gefährdeten Wildbienenarten. Marienkäfer graben sich in den kalten Monaten in altes Laub.</w:t>
      </w:r>
    </w:p>
    <w:p w:rsidR="00690F71" w:rsidRDefault="008F14E5">
      <w:pPr>
        <w:pStyle w:val="Zwischentitel"/>
      </w:pPr>
      <w:r>
        <w:t>Wichtig für Falter</w:t>
      </w:r>
    </w:p>
    <w:p w:rsidR="00690F71" w:rsidRDefault="008F14E5">
      <w:r>
        <w:t>Bis in den Mai hinein können welke Blätter und abgeblühte Pflanzen in den Beeten bleiben. Im vermeintlichen Gestrüpp verbergen sich oft Insekteneie</w:t>
      </w:r>
      <w:r>
        <w:t>r. Gerade wer Schmetterlinge liebt, sollte erst spät mit der Instandsetzung des Gartens beginnen. Der Zitronenfalter, der sich im Frühjahr oft als erster Schmetterling im Garten zeigt, überwintert gerne zwischen Efeublättern oder in Brombeeren, aber auch i</w:t>
      </w:r>
      <w:r>
        <w:t>m hohen Gras.</w:t>
      </w:r>
    </w:p>
    <w:p w:rsidR="00690F71" w:rsidRDefault="008F14E5">
      <w:r>
        <w:t xml:space="preserve">Unordnung gefällt nicht nur Insekten. Laub- und Reisighaufen im Garten helfen auch Igeln über die kalte Jahreszeit. </w:t>
      </w:r>
      <w:r>
        <w:rPr>
          <w:b/>
        </w:rPr>
        <w:t>bsc</w:t>
      </w:r>
    </w:p>
    <w:p w:rsidR="00690F71" w:rsidRDefault="008F14E5">
      <w:pPr>
        <w:pStyle w:val="berschrift1"/>
      </w:pPr>
      <w:bookmarkStart w:id="34" w:name="_Toc241048524"/>
      <w:r>
        <w:t>Ein Hitze-Sommer der Extreme</w:t>
      </w:r>
      <w:bookmarkEnd w:id="34"/>
    </w:p>
    <w:p w:rsidR="00690F71" w:rsidRDefault="008F14E5">
      <w:pPr>
        <w:pStyle w:val="Standard-Fett"/>
      </w:pPr>
      <w:r>
        <w:t>Medizinische Einsatzkräfte, Notfallretter und Feuerwehren berichten von den dramatischen Folg</w:t>
      </w:r>
      <w:r>
        <w:t>en der hohen Temperaturen</w:t>
      </w:r>
    </w:p>
    <w:p w:rsidR="00690F71" w:rsidRDefault="008F14E5">
      <w:pPr>
        <w:pStyle w:val="Vorspann"/>
      </w:pPr>
      <w:r>
        <w:t>Waldbrände, Ernteausfälle, ausgetrocknete Flussbetten und mehr als 16 000 Hitzetote – so viele wie nie in Deutschland: Der Extrem-Sommer 2026 wird in Erinnerung bleiben. Rettungskräfte und Feuerwehrleute blicken zurück auf die dra</w:t>
      </w:r>
      <w:r>
        <w:t xml:space="preserve">matischen Auswirkungen der Hitze und ein Einsatzgeschehen, das sie so noch nicht erlebt haben. </w:t>
      </w:r>
    </w:p>
    <w:p w:rsidR="00690F71" w:rsidRDefault="008F14E5">
      <w:r>
        <w:t xml:space="preserve">Die Hitzewelle Ende Juni bildete in vielen Teilen Deutschlands den dramatischen Höhepunkt eines außergewöhnlich heißen Sommers. Der Deutsche Wetterdienst (DWD) </w:t>
      </w:r>
      <w:r>
        <w:t>verzeichnete an mehreren Tagen Höchstwerte von über 40 Grad – auch nachts sanken die Temperaturen kaum deutlich ab.</w:t>
      </w:r>
    </w:p>
    <w:p w:rsidR="00690F71" w:rsidRDefault="008F14E5">
      <w:r>
        <w:t xml:space="preserve">Kalle Heitkötter, Ärztlicher Leiter Rettungsdienst bei der Landeshauptstadt Düsseldorf, erinnert sich an den letzten Samstag im Juni. „An </w:t>
      </w:r>
      <w:r>
        <w:t>diesem Tag haben wir mit 550 Rettungswageneinsätzen doppelt so viele wie an normalen Tagen gezählt und mit 128 Notarzteinsätzen dreimal so viele wie sonst.“ Die mit Abstand meisten Menschen, die versorgt werden mussten, waren alleinstehende ältere Personen</w:t>
      </w:r>
      <w:r>
        <w:t xml:space="preserve"> in Dachgeschosswohnungen. „Wir haben viele Menschen aufgefunden, bei denen wir eine Körpertemperatur von 40 Grad und mehr festgestellt haben. Dann sprechen wir von einem Hitzeschlag, der lebensgefährlich sein kann. Sie wurden mit Eis gekühlt und erhielten</w:t>
      </w:r>
      <w:r>
        <w:t xml:space="preserve"> oft vor Ort Infusionen, bevor sie ins Krankenhaus gebracht wurden. Das mittlere Alter dieser Patienten lag bei 76 Jahren, viele von ihnen waren vorerkrankt. Die höchste Temperatur, die wir bei einer überlebenden Person gemessen haben, lag sogar bei 44,5 G</w:t>
      </w:r>
      <w:r>
        <w:t>rad“, berichtet Heitkötter.</w:t>
      </w:r>
    </w:p>
    <w:p w:rsidR="00690F71" w:rsidRDefault="008F14E5">
      <w:pPr>
        <w:pStyle w:val="Zwischentitel"/>
      </w:pPr>
      <w:r>
        <w:t>Nach draußen</w:t>
      </w:r>
    </w:p>
    <w:p w:rsidR="00690F71" w:rsidRDefault="008F14E5">
      <w:r>
        <w:t>Gerade Dachgeschosswohnungen entwickelten sich zu wahren Hitzefallen. „In solchen Situationen muss die Empfehlung lauten: Gehen Sie raus an einen möglichst kühlen Ort. Dort werden Menschen bei gesundheitlichen Probl</w:t>
      </w:r>
      <w:r>
        <w:t>emen außerdem eher entdeckt und können schneller Hilfe bekommen als in der eigenen Wohnung.“</w:t>
      </w:r>
    </w:p>
    <w:p w:rsidR="00690F71" w:rsidRDefault="008F14E5">
      <w:r>
        <w:t>Doch auch an Orten, wo Menschen Abkühlung suchten, nahm die Zahl der Notfälle zu. Die Deutsche Lebens-Rettungs-Gesellschaft (DLRG) blickt ebenfalls auf einen außer</w:t>
      </w:r>
      <w:r>
        <w:t>gewöhnlichen Sommer zurück. Bis Ende Juli ertranken bundesweit 261 Menschen – 15 mehr als im gleichen Zeitraum des Vorjahres. Eine vergleichbare Zahl an Todesfällen gab es zuletzt 2019 in den Monaten Mai bis Juli. „Vor allem im Juni kam es zu einer Häufung</w:t>
      </w:r>
      <w:r>
        <w:t xml:space="preserve"> von Notfällen am Wasser“, sagt Volker Kvasnicka, Leiter Einsatz beim DLRG-Landesverband Bayern. Bei hochsommerlichen Temperaturen zog es viele an Seen, Flüsse und andere Gewässer. Gerade an unbewachten Badestellen erhöht sich damit das Risiko schwerer Unf</w:t>
      </w:r>
      <w:r>
        <w:t xml:space="preserve">älle. Rund 90 Prozent der tödlichen Badeunfälle ereigneten sich an Binnengewässern ohne ständige Aufsicht. </w:t>
      </w:r>
    </w:p>
    <w:p w:rsidR="00690F71" w:rsidRDefault="008F14E5">
      <w:r>
        <w:t xml:space="preserve">Hinter den Todeszahlen stehen jedoch auch zahlreiche erfolgreiche Rettungen. „Das dürften etwa zehnmal so viele Menschen sein wie die Ertrunkenen“, </w:t>
      </w:r>
      <w:r>
        <w:t>schätzt Kvasnicka. Allein im vergangenen Jahr rettete die DLRG 1154 Menschen vor dem Ertrinken.</w:t>
      </w:r>
    </w:p>
    <w:p w:rsidR="00690F71" w:rsidRDefault="008F14E5">
      <w:r>
        <w:t>Für die Einsatzkräfte waren die Bedingungen dabei sehr heraus-​fordernd, da das Niedrigwasser ihre Arbeit in diesem Sommer zusätzlich erschwerte. Besonders am R</w:t>
      </w:r>
      <w:r>
        <w:t>hein waren die Wasserstände so niedrig, dass die üblichen Bootsrampen teilweise nicht mehr genutzt werden konnten. Dann mussten die Retter auf leichtere Schlauchboote ausweichen. Die Einsätze konnten dadurch 40 bis 60 Minuten länger dauern als normal.</w:t>
      </w:r>
    </w:p>
    <w:p w:rsidR="00690F71" w:rsidRDefault="008F14E5">
      <w:pPr>
        <w:pStyle w:val="Zwischentitel"/>
      </w:pPr>
      <w:r>
        <w:t>Groß</w:t>
      </w:r>
      <w:r>
        <w:t>e Belastung</w:t>
      </w:r>
    </w:p>
    <w:p w:rsidR="00690F71" w:rsidRDefault="008F14E5">
      <w:r>
        <w:t>Viele ehrenamtliche Helferinnen und Helfer verbrachten ihre Schichten stundenlang am Wasser – häufig ohne Schatten und in Schutzkleidung. Zu der körperlichen Belastung kam die psychische Beanspruchung durch schwierige Einsätze hinzu. Die Bergun</w:t>
      </w:r>
      <w:r>
        <w:t>g Ertrunkener oder eine erfolglose Reanimation brachte sogar erfahrene Retterinnen und Retter an ihre Grenzen.</w:t>
      </w:r>
    </w:p>
    <w:p w:rsidR="00690F71" w:rsidRDefault="008F14E5">
      <w:r>
        <w:t>Für die Feuerwehrkräfte, die in diesem Sommer deutschlandweit zahlreiche Waldbrände löschten, waren die Belastungen enorm. In der Waldbrandzentra</w:t>
      </w:r>
      <w:r>
        <w:t>le im brandenburgischen Wünsdorf werden alle Löscheinsätze im Bundesland koordiniert und überwacht. Fast 290 Brände gab es bereits in diesem Jahr in Brandenburg. Statistisch gesehen sei das bisher zwar ein durchschnittliches Jahr gewesen, aber dennoch zu w</w:t>
      </w:r>
      <w:r>
        <w:t>arm und zu trocken, sagt Philipp Haase, Sachgebietsleiter Waldbrandschutz beim Landesbetrieb Forst Brandenburg. Vor allem an dem Ausmaß der Brände lässt sich das gut sehen: Im Jahr 2025 brannte in Brandenburg insgesamt eine Fläche von rund 250 Hektar, 2026</w:t>
      </w:r>
      <w:r>
        <w:t xml:space="preserve"> waren es bereits knapp 600 Hektar. Zwei Brände bei Jüterbog im Mai und im Juli, bei denen insgesamt eine Fläche von knapp 470 Hektar brannte, schlugen hier zu Buche. </w:t>
      </w:r>
    </w:p>
    <w:p w:rsidR="00690F71" w:rsidRDefault="008F14E5">
      <w:r>
        <w:t>Besonders dramatisch war die Situation im Hürtgenwald in der Eifel im Kreis Düren. Zwisc</w:t>
      </w:r>
      <w:r>
        <w:t>hen dem 13. und 19. August tobte dort der größte Waldbrand in der Geschichte Nordrhein-Westfalens. Das Feuer konnte sich wegen der extremen Trockenheit und starker, wechselnder Winde schnell ausbreiten. „Vor dem 13. August hat es zehn Wochen lang nicht ger</w:t>
      </w:r>
      <w:r>
        <w:t>egnet im Hürtgenwald“, berichtet Feuerwehr-Sprecher Peter Berndgen. Temperaturen von fast 40 Grad und eine hohe Luftfeuchtigkeit erschwerten die Löscharbeiten zusätzlich. Schon davor waren die Feuerwehren über einen längeren Zeitraum nahezu täglich zu Bran</w:t>
      </w:r>
      <w:r>
        <w:t>deinsätzen ausgerückt – Felder, Böschungen, Gärten und Grünstreifen fingen Feuer. „Einmal brannte ein ganzer Rasen-Sportplatz. Das habe ich in 40 Jahren noch nicht erlebt.“</w:t>
      </w:r>
    </w:p>
    <w:p w:rsidR="00690F71" w:rsidRDefault="008F14E5">
      <w:r>
        <w:t>Während des Löscheinsatzes im Hürtgenwald waren mehr als 5000 Einsatzkräfte von Feu</w:t>
      </w:r>
      <w:r>
        <w:t>erwehr, Hilfsorganisationen, Polizei, Bundeswehr, THW und Ordnungsbehörden im Einsatz. Dabei erlitten acht Einsatzkräfte leichte Verletzungen, beispielsweise Schnittverletzungen und Dehydrierungen. Berndgen spricht von extrem schwierigen Bedingungen für di</w:t>
      </w:r>
      <w:r>
        <w:t xml:space="preserve">e Feuerwehrleute. Aufgrund der klimatischen Verhältnisse sowie der besonderen Herausforderungen eines Waldbrandes waren die körperlichen Belastungen sehr hoch. </w:t>
      </w:r>
    </w:p>
    <w:p w:rsidR="00690F71" w:rsidRDefault="008F14E5">
      <w:pPr>
        <w:pStyle w:val="Zwischentitel"/>
      </w:pPr>
      <w:r>
        <w:t>Hitze und Starkregen</w:t>
      </w:r>
    </w:p>
    <w:p w:rsidR="00690F71" w:rsidRDefault="008F14E5">
      <w:r>
        <w:t xml:space="preserve">Wie schnell aus einem Extremereignis das nächste werden kann, zeigte sich </w:t>
      </w:r>
      <w:r>
        <w:t>unmittelbar im Anschluss. Nachdem der Brand im Hürtgenwald gelöscht war, mussten Einsatzkräfte am Folgetag zu Starkregenereignissen im Landkreis nebenan ausrücken. Nur einen Tag später gab es an mehreren Flussläufen im Rheinland Hochwasserwarnungen. „Das s</w:t>
      </w:r>
      <w:r>
        <w:t>ind Extremsituationen, die wir in dieser Form bislang kaum kennen. Wir müssen zunehmend von klimainduzierten Einsätzen sprechen. Das Klima treibt die Feuerwehren von einer Ecke in die andere“, so Berndgen.</w:t>
      </w:r>
    </w:p>
    <w:p w:rsidR="00690F71" w:rsidRDefault="008F14E5">
      <w:r>
        <w:t>Dieser Sommer zeigte, wie vielfältig die Herausforderungen für die Einsatzkräfte inzwischen sind: Auf extreme Hitze folgten Badeunfälle und Waldbrände, auf Trockenheit Starkregen und Hochwasser. Die Einsätze werden häufiger und komplexer – und die Einsatzk</w:t>
      </w:r>
      <w:r>
        <w:t xml:space="preserve">räfte geraten dabei unter Extrembedingungen. </w:t>
      </w:r>
      <w:r>
        <w:rPr>
          <w:b/>
        </w:rPr>
        <w:t>Lisa John/Jörg Ciszewski</w:t>
      </w:r>
    </w:p>
    <w:p w:rsidR="00690F71" w:rsidRDefault="008F14E5">
      <w:pPr>
        <w:pStyle w:val="berschrift1"/>
      </w:pPr>
      <w:bookmarkStart w:id="35" w:name="_Toc241048525"/>
      <w:r>
        <w:t>Botox, Filler &amp; Co: Schönheitswahn im Alter</w:t>
      </w:r>
      <w:bookmarkEnd w:id="35"/>
    </w:p>
    <w:p w:rsidR="00690F71" w:rsidRDefault="008F14E5">
      <w:pPr>
        <w:pStyle w:val="Standard-Fett"/>
      </w:pPr>
      <w:r>
        <w:t>Viele jenseits der 50 fühlen enormen Druck, aber: Muss man dem Jungsein hinterherlaufen? Und warum eigentlich?</w:t>
      </w:r>
    </w:p>
    <w:p w:rsidR="00690F71" w:rsidRDefault="008F14E5">
      <w:pPr>
        <w:pStyle w:val="Vorspann"/>
      </w:pPr>
      <w:r>
        <w:t>Falten, Tränensäcke und schlaff</w:t>
      </w:r>
      <w:r>
        <w:t>e Haut: Früher galten sie als Zeichen eines erfüllten Lebens. Heute ist das oft anders. Botox, Faltenunterspritzungen und Schönheitsoperationen sind längst bei Menschen im höheren Alter angekommen. Auch jenseits der 50 wächst der Wunsch, lange frisch und j</w:t>
      </w:r>
      <w:r>
        <w:t>ugendlich auszusehen. Doch wo endet der Wunsch nach einem gepflegten Äußeren – und wo beginnt der gesellschaftliche Druck?</w:t>
      </w:r>
    </w:p>
    <w:p w:rsidR="00690F71" w:rsidRDefault="008F14E5">
      <w:r>
        <w:t>Der Markt für ästhetische Eingriffe ist groß. Nach Angaben der International Society of Aesthetic Plastic Surgery (ISAPS) wurden in D</w:t>
      </w:r>
      <w:r>
        <w:t>eutschland im Jahr 2024 rund 626 200 ästhetisch-plastische Eingriffe vorgenommen. Deutschland gehört damit international zu den Ländern mit den meisten solcher Behandlungen.</w:t>
      </w:r>
    </w:p>
    <w:p w:rsidR="00690F71" w:rsidRDefault="008F14E5">
      <w:r>
        <w:t xml:space="preserve">Laut der Deutschen Gesellschaft für Ästhetisch-Plastische Chirurgie (DGÄPC) waren </w:t>
      </w:r>
      <w:r>
        <w:t xml:space="preserve">folgende Eingriffe im Jahr 2024 der Renner: Lidstraffungen mit 18,3 Prozent, Botulinumbehandlungen (Botox) mit 14 Prozent und Faltenunterspritzungen mit 13 Prozent. </w:t>
      </w:r>
    </w:p>
    <w:p w:rsidR="00690F71" w:rsidRDefault="008F14E5">
      <w:pPr>
        <w:pStyle w:val="Zwischentitel"/>
      </w:pPr>
      <w:r>
        <w:t>Was ist schön genug?</w:t>
      </w:r>
    </w:p>
    <w:p w:rsidR="00690F71" w:rsidRDefault="008F14E5">
      <w:r>
        <w:t>Dabei wird zwischen operativen und nicht-operativen Behandlungen unte</w:t>
      </w:r>
      <w:r>
        <w:t>rschieden. Gerade Eingriffe wie Botox-Behandlungen oder Faltenunterspritzungen lassen sich vergleichsweise unkompliziert durchführen und sind deshalb leichter vorstellbar als eine Operation.</w:t>
      </w:r>
    </w:p>
    <w:p w:rsidR="00690F71" w:rsidRDefault="008F14E5">
      <w:r>
        <w:t xml:space="preserve">Für viele Menschen geht es bei einer kosmetischen Behandlung gar </w:t>
      </w:r>
      <w:r>
        <w:t xml:space="preserve">nicht darum, plötzlich 20 Jahre jünger auszusehen. Sie möchten vielleicht einfach weniger müde wirken, eine störende Falte reduzieren oder sich mit dem eigenen Gesicht wieder wohler fühlen. Daran ist zunächst nichts auszusetzen. Jeder Mensch sollte selbst </w:t>
      </w:r>
      <w:r>
        <w:t>entscheiden dürfen, was er mit seinem Körper macht. Schwierig wird es aber, wenn die Wünsche unrealistisch werden oder Bemerkungen von Freunden, Bekannten, Partnerinnen oder Partnern vermitteln: „Du könntest doch mal etwas gegen die Falten machen.“</w:t>
      </w:r>
    </w:p>
    <w:p w:rsidR="00690F71" w:rsidRDefault="008F14E5">
      <w:r>
        <w:t>Werbung</w:t>
      </w:r>
      <w:r>
        <w:t xml:space="preserve">, Fernsehen und Zeitschriften prägen unser Schönheitsideal in hohem Maße. Insbesondere soziale Medien vermitteln täglich Vorstellungen davon, wie ein attraktiver Mensch aussehen soll. Glatte Haut, straffe Gesichtszüge und ein jugendliches Erscheinungsbild </w:t>
      </w:r>
      <w:r>
        <w:t>werden dabei häufig als selbstverständlich dargestellt.</w:t>
      </w:r>
    </w:p>
    <w:p w:rsidR="00690F71" w:rsidRDefault="008F14E5">
      <w:r>
        <w:t>Hinzu kommen digitale Filter und Bildbearbeitung. Fotos lassen sich heute in Sekunden verändern. Falten verschwinden, Haut wird geglättet und Gesichtszüge werden optimiert. Das Problem: Wer ständig so</w:t>
      </w:r>
      <w:r>
        <w:t>lche Bilder sieht, kann dabei sehr leicht vergessen, dass sie mit der Wirklichkeit wenig zu tun haben.</w:t>
      </w:r>
    </w:p>
    <w:p w:rsidR="00690F71" w:rsidRDefault="008F14E5">
      <w:r>
        <w:t>Falten sind sichtbare Spuren des Lebens. Sie entstehen durch Alter, Sonne, Mimik und vieles mehr. Sie erzählen von Jahren, in denen wir gelacht, geweint,</w:t>
      </w:r>
      <w:r>
        <w:t xml:space="preserve"> gearbeitet, geliebt und vielleicht auch schwierige Zeiten durchgestanden haben. Warum sollen diese Spuren verschwinden?</w:t>
      </w:r>
    </w:p>
    <w:p w:rsidR="00690F71" w:rsidRDefault="008F14E5">
      <w:pPr>
        <w:pStyle w:val="Zwischentitel"/>
      </w:pPr>
      <w:r>
        <w:t>Es geht auch anders</w:t>
      </w:r>
    </w:p>
    <w:p w:rsidR="00690F71" w:rsidRDefault="008F14E5">
      <w:r>
        <w:t>Ein Gesicht muss nicht jung aussehen, um attraktiv, sympathisch oder interessant zu sein. Gerade ältere Menschen kö</w:t>
      </w:r>
      <w:r>
        <w:t>nnen dabei eine wichtige gesellschaftliche Rolle spielen: Sie können zeigen, dass Lebensfreude und Attraktivität nicht an ein bestimmtes Alter gebunden sind.</w:t>
      </w:r>
    </w:p>
    <w:p w:rsidR="00690F71" w:rsidRDefault="008F14E5">
      <w:r>
        <w:t>Einen selbstbewussten Umgang mit dem Älterwerden zeigt die Schauspielerin Jutta Speidel. Sie steht</w:t>
      </w:r>
      <w:r>
        <w:t xml:space="preserve"> offen zu ihren Falten und lehnt Botox und Schönheitsoperationen für sich ab. Im Podcast „Ungeschönt“ bezeichnet Speidel den Begriff „Anti-Aging“ als „völlig bescheuert“. Denn warum sollte man gegen das Alter arbeiten?</w:t>
      </w:r>
    </w:p>
    <w:p w:rsidR="00690F71" w:rsidRDefault="008F14E5">
      <w:r>
        <w:t xml:space="preserve">Für sie gehören Falten zu einem gelebten Leben mit allen Höhen und Tiefen dazu. Denn es sind die Erfahrungen, die ein Mensch im Laufe seines Lebens sammelt, die ihn prägen und letztlich auch seine besondere Schönheit ausmachen. </w:t>
      </w:r>
      <w:r>
        <w:rPr>
          <w:b/>
        </w:rPr>
        <w:t>Robert Manu</w:t>
      </w:r>
    </w:p>
    <w:p w:rsidR="00690F71" w:rsidRDefault="008F14E5">
      <w:pPr>
        <w:pStyle w:val="berschrift1"/>
      </w:pPr>
      <w:bookmarkStart w:id="36" w:name="_Toc241048526"/>
      <w:r>
        <w:t>Telekom stellt T</w:t>
      </w:r>
      <w:r>
        <w:t>elefonanschlüsse um</w:t>
      </w:r>
      <w:bookmarkEnd w:id="36"/>
    </w:p>
    <w:p w:rsidR="00690F71" w:rsidRDefault="008F14E5">
      <w:pPr>
        <w:pStyle w:val="Standard-Fett"/>
      </w:pPr>
      <w:r>
        <w:t>Wer einen reinen Festnetzanschluss hat, muss bis Ende 2028 wechseln</w:t>
      </w:r>
    </w:p>
    <w:p w:rsidR="00690F71" w:rsidRDefault="008F14E5">
      <w:pPr>
        <w:pStyle w:val="Vorspann"/>
      </w:pPr>
      <w:r>
        <w:t>Die Deutsche Telekom stellt reine Festnetzanschlüsse ohne Internet bis Ende 2028 schrittweise auf Mobilfunktechnik um. Kundinnen und Kunden werden darüber schriftlich i</w:t>
      </w:r>
      <w:r>
        <w:t>nformiert. Sie sollten in Ruhe alternative Angebote prüfen.</w:t>
      </w:r>
    </w:p>
    <w:p w:rsidR="00690F71" w:rsidRDefault="008F14E5">
      <w:r>
        <w:t>Rund 1,3 Millionen Haushalte nutzen noch einen reinen Festnetzanschluss. „Diese klassischen Telefonanschlüsse sind meist älteren Datums und über eine Technikrealisiert, die heute in die Jahre geko</w:t>
      </w:r>
      <w:r>
        <w:t>mmen und mittlerweile störanfällig ist“, erklärt Telekom-Sprecher Niels Hafenrichter. Deshalb müssten sie nun ausgetauscht werden.</w:t>
      </w:r>
    </w:p>
    <w:p w:rsidR="00690F71" w:rsidRDefault="008F14E5">
      <w:r>
        <w:t xml:space="preserve">Kundinnen und Kunden werden von der Telekom angeschrieben und gebeten, mit dem Unternehmen Kontakt aufzunehmen, um eine gute </w:t>
      </w:r>
      <w:r>
        <w:t>Lösung für den Telefonanschluss zu finden. Alternativ können sie sich auch bei anderen Anbietern informieren. Da die Telekom die Vertragsbedingungen ändert, gilt ein Sonderkündigungsrecht mit einer Frist von drei Monaten ab Datum des Schreibens.</w:t>
      </w:r>
    </w:p>
    <w:p w:rsidR="00690F71" w:rsidRDefault="008F14E5">
      <w:pPr>
        <w:pStyle w:val="Zwischentitel"/>
      </w:pPr>
      <w:r>
        <w:t>Box als Al</w:t>
      </w:r>
      <w:r>
        <w:t>ternative</w:t>
      </w:r>
    </w:p>
    <w:p w:rsidR="00690F71" w:rsidRDefault="008F14E5">
      <w:r>
        <w:t>Wer weiterhin keinen Internetanschluss will, kann bei der Telekom auf die Mobilfunk-Box „Call Connect via Funk“ umsteigen. Diese wird zwischen eine Steckdose und dem Telefon geschaltet. Das kann sowohl ein normales Tasten- als auch ein Schnurlost</w:t>
      </w:r>
      <w:r>
        <w:t xml:space="preserve">elefon sein. Alte Wählscheibentelefone funktionieren oft nicht mehr. </w:t>
      </w:r>
    </w:p>
    <w:p w:rsidR="00690F71" w:rsidRDefault="008F14E5">
      <w:r>
        <w:t>Die Box kann für 3,95 Euro pro Monat gemietet oder für 99,99 Euro gekauft werden. Der Vorteil: Die Kundinnen und Kunden können ihre alte Telefonnummer mitnehmen. Allerdings können die Bo</w:t>
      </w:r>
      <w:r>
        <w:t>xen nicht überall genutzt werden. Besteht in der Wohnung eine schlechte 4G/LTE-Verbindung, muss eine andere Lösung gesucht werden.</w:t>
      </w:r>
    </w:p>
    <w:p w:rsidR="00690F71" w:rsidRDefault="008F14E5">
      <w:r>
        <w:t>Alternativ ist ein DSL- oder Glasfaseranschluss möglich. Dieser beinhaltet einen Internetanschluss, für den ein Router gekauf</w:t>
      </w:r>
      <w:r>
        <w:t xml:space="preserve">t oder gemietet wird. Der günstigste Tarif liegt bei rund 47 Euro (inklusive Miete für den Router). Eine weitere Möglichkeit ist, einen anderen Anbieter nur für den Telefonanschluss mit einem günstigeren Tarif zu suchen. </w:t>
      </w:r>
    </w:p>
    <w:p w:rsidR="00690F71" w:rsidRDefault="008F14E5">
      <w:pPr>
        <w:pStyle w:val="Zwischentitel"/>
      </w:pPr>
      <w:r>
        <w:t>Hausnotruf prüfen</w:t>
      </w:r>
    </w:p>
    <w:p w:rsidR="00690F71" w:rsidRDefault="008F14E5">
      <w:r>
        <w:t>Wichtig: Nach ei</w:t>
      </w:r>
      <w:r>
        <w:t>ner Umstellung des Telefonanschlusses laufen Hausnotruf und Alarmanlagen, die mit dem Telefon verbunden sind, nicht einfach weiter. Betroffene sollten vor einem Wechsel Kontakt mit dem Anbieter aufnehmen, um die Funktionsfähigkeit des Hausnotrufs beziehung</w:t>
      </w:r>
      <w:r>
        <w:t>sweise der Anlage sicherzustellen. Auch die neue Box sowie der Router können ausfallen. Beide benötigen Strom. Bei einem Stromausfall ist Telefonieren nicht möglich.</w:t>
      </w:r>
    </w:p>
    <w:p w:rsidR="00690F71" w:rsidRDefault="008F14E5">
      <w:r>
        <w:t>Wer einen Brief von der Telekom bekommen hat, hat noch genug Zeit, sich zu informieren und</w:t>
      </w:r>
      <w:r>
        <w:t xml:space="preserve"> einen günstigen Tarif zu finden. Allerdings muss man aktiv werden, da sonst möglicherweise der Telefonanschluss gekündigt wird. Geeignete Anbieter sind beispielsweise o2, Vodafone oder Rufdirekt. Hat man kein Internet, kann man vor Ort einen Vertrag absch</w:t>
      </w:r>
      <w:r>
        <w:t>ließen.</w:t>
      </w:r>
    </w:p>
    <w:p w:rsidR="00690F71" w:rsidRDefault="008F14E5">
      <w:r>
        <w:t>Auch bei der Telekom zu bleiben, könne sich lohnen, wirbt Unternehmenssprecher Hafenrichter. „Das Preisniveau von einem neuen Tarif plus Gerätemiete ist im Vergleich zu den bisher genutzten Tarifen in den meisten Fällen auf gleichem beziehungsweise</w:t>
      </w:r>
      <w:r>
        <w:t xml:space="preserve"> ähnlichem Niveau“, sagt er. </w:t>
      </w:r>
      <w:r>
        <w:rPr>
          <w:b/>
        </w:rPr>
        <w:t>Annette Liebmann</w:t>
      </w:r>
    </w:p>
    <w:p w:rsidR="00690F71" w:rsidRDefault="008F14E5">
      <w:pPr>
        <w:pStyle w:val="berschrift1"/>
      </w:pPr>
      <w:bookmarkStart w:id="37" w:name="_Toc241048527"/>
      <w:r>
        <w:t>Achtung bei einer Teilrente</w:t>
      </w:r>
      <w:bookmarkEnd w:id="37"/>
      <w:r>
        <w:t xml:space="preserve"> </w:t>
      </w:r>
    </w:p>
    <w:p w:rsidR="00690F71" w:rsidRDefault="008F14E5">
      <w:pPr>
        <w:pStyle w:val="Standard-Fett"/>
      </w:pPr>
      <w:r>
        <w:t>Krankengeldanspruch ändert sich ab 2027</w:t>
      </w:r>
    </w:p>
    <w:p w:rsidR="00690F71" w:rsidRDefault="008F14E5">
      <w:pPr>
        <w:pStyle w:val="Vorspann"/>
      </w:pPr>
      <w:r>
        <w:t>Wer mehr als zwei Drittel seiner Altersrente als Teilrente bezieht und erwerbstätig ist, verliert ab 1. Januar 2027 den Anspruch auf Krankeng</w:t>
      </w:r>
      <w:r>
        <w:t xml:space="preserve">eld. Versicherte sollten deshalb prüfen, ob eine Reduzierung der Teilrente ratsam ist. Ein Antrag bei der Deutschen Rentenversicherung (DRV) sollte schnellstmöglich mit Wirkung zum 1. Januar 2027 gestellt werden. </w:t>
      </w:r>
    </w:p>
    <w:p w:rsidR="00690F71" w:rsidRDefault="008F14E5">
      <w:r>
        <w:t>Betroffen sind Menschen, deren Teilrente m</w:t>
      </w:r>
      <w:r>
        <w:t xml:space="preserve">ehr als 66,66 Prozent und bis zu 99,99 Prozent der Vollrente beträgt. Grundlage für diese neue Regelung ist das GKV-Beitragssatzstabilisierungsgesetz.  </w:t>
      </w:r>
    </w:p>
    <w:p w:rsidR="00690F71" w:rsidRDefault="008F14E5">
      <w:r>
        <w:t>Nach Ansicht des Sozialverbands VdK gibt es zwei Fälle, in denen es sinnvoll sein kann, eine Reduzierun</w:t>
      </w:r>
      <w:r>
        <w:t>g der Teilrente zu prüfen. Für bereits laufende Krankengeldfälle enthält das Gesetz keine Übergangsregelung. Deshalb sind laut VdK Personen betroffen, die bereits vor dem 1. Januar 2027 Krankengeld bezogen haben und die voraussichtlich über den Jahreswechs</w:t>
      </w:r>
      <w:r>
        <w:t xml:space="preserve">el hinweg weiterhin krankgeschrieben sein werden. Auch für Betroffene, die sich den Krankengeldanspruch erhalten möchten, kommt eine Absenkung der Teilrente infrage. </w:t>
      </w:r>
    </w:p>
    <w:p w:rsidR="00690F71" w:rsidRDefault="008F14E5">
      <w:pPr>
        <w:pStyle w:val="Zwischentitel"/>
      </w:pPr>
      <w:r>
        <w:t>Sich beraten lassen</w:t>
      </w:r>
    </w:p>
    <w:p w:rsidR="00690F71" w:rsidRDefault="008F14E5">
      <w:r>
        <w:t>Doch vor einem Antrag bei der DRV sollten die Betroffenen genau prüfe</w:t>
      </w:r>
      <w:r>
        <w:t>n, ob sich eine solche Absenkung finanziell wirklich lohnt. Michael Popp, Referent für Alterssicherung im VdK, empfiehlt, beide Varianten gegenüberzustellen: eine höhere Teilrente ohne Krankengeldanspruch und eine niedrigere Teilrente mit Krankengeldanspru</w:t>
      </w:r>
      <w:r>
        <w:t>ch. „Wer die Teilrente absenkt, hat zwar bei einer Erkrankung, die länger als sechs Wochen andauert, einen Anspruch auf Krankengeld. Dafür fällt die monatliche Rente aber deutlich niedriger aus“, so Popp.</w:t>
      </w:r>
    </w:p>
    <w:p w:rsidR="00690F71" w:rsidRDefault="008F14E5">
      <w:r>
        <w:t xml:space="preserve">Bei einer Prüfung sind beispielsweise die Höhe von </w:t>
      </w:r>
      <w:r>
        <w:t>Teilrente, Arbeitsentgelt und Krankengeldanspruch zu berücksichtigen. Zudem können auch weitere Ansprüche eine Rolle spielen. Die Beraterinnen und Berater in den VdK-Geschäftsstellen vor Ort oder die DRV können die Betroffenen bei einer Entscheidung unters</w:t>
      </w:r>
      <w:r>
        <w:t xml:space="preserve">tützen. </w:t>
      </w:r>
      <w:r>
        <w:rPr>
          <w:b/>
        </w:rPr>
        <w:t>ken</w:t>
      </w:r>
    </w:p>
    <w:p w:rsidR="00690F71" w:rsidRDefault="008F14E5">
      <w:pPr>
        <w:pStyle w:val="berschrift1"/>
      </w:pPr>
      <w:bookmarkStart w:id="38" w:name="_Toc241048528"/>
      <w:r>
        <w:t>„Die Tanzstunde gibt mir Kraft für die Woche“</w:t>
      </w:r>
      <w:bookmarkEnd w:id="38"/>
    </w:p>
    <w:p w:rsidR="00690F71" w:rsidRDefault="008F14E5">
      <w:pPr>
        <w:pStyle w:val="Standard-Fett"/>
      </w:pPr>
      <w:r>
        <w:t>Projekt für Parkinson-Erkrankte am Staatstheater Augsburg fördert Beweglichkeit, Selbstbewusstsein und soziale Kontakte</w:t>
      </w:r>
    </w:p>
    <w:p w:rsidR="00690F71" w:rsidRDefault="008F14E5">
      <w:pPr>
        <w:pStyle w:val="Vorspann"/>
      </w:pPr>
      <w:r>
        <w:t>Wer den Kurs „Tanz mit Parkinson!“ besucht, erlebt weit mehr als Gymnastik: Mu</w:t>
      </w:r>
      <w:r>
        <w:t xml:space="preserve">sik, Bewegung und Gemeinschaft geben den Teilnehmenden neues Selbstvertrauen. Das Projekt wird von der Uni Augsburg mit einer Studie begleitet. </w:t>
      </w:r>
    </w:p>
    <w:p w:rsidR="00690F71" w:rsidRDefault="008F14E5">
      <w:r>
        <w:t>Die großen Fenster lassen viel Licht in den Raum. Vor der Spiegelwand sitzen Frauen und Männer im Kreis. Zwisch</w:t>
      </w:r>
      <w:r>
        <w:t>en den roten Stühlen bleibt viel Platz. Dann erklingen die ersten Takte von „Singin’ in the Rain“. Arme strecken sich nach oben, als würden sie Regenschirme aufspannen. Alle folgen Tanzpädagogin Gabriella Gilardi.</w:t>
      </w:r>
    </w:p>
    <w:p w:rsidR="00690F71" w:rsidRDefault="008F14E5">
      <w:r>
        <w:t>Hier in der Ballettakademie DanceCenter No</w:t>
      </w:r>
      <w:r>
        <w:t>1 in Augsburg treffen sich montags 36 Menschen zum Kurs „Tanz mit Parkinson!“. Beim nächsten Lied „zeichnen“ sie mit kreisenden Armbewegungen Sonnenuntergang und Milchstraße in die Luft. Sternschnuppen fallen: Überall sinken ausgestreckte Zeigefinger zickz</w:t>
      </w:r>
      <w:r>
        <w:t>ackförmig zu Boden. Dazu zischt und pfeift die Gruppe.</w:t>
      </w:r>
    </w:p>
    <w:p w:rsidR="00690F71" w:rsidRDefault="008F14E5">
      <w:pPr>
        <w:pStyle w:val="Zwischentitel"/>
      </w:pPr>
      <w:r>
        <w:t>Ausgelassene Stimmung</w:t>
      </w:r>
    </w:p>
    <w:p w:rsidR="00690F71" w:rsidRDefault="008F14E5">
      <w:r>
        <w:t xml:space="preserve">Nach dem Training sind alle Teilnehmerinnen und Teilnehmer außer Atem. Es herrscht eine ausgelassene Stimmung. Die meisten freuen sich nun darauf, sich bei einem Kaffee in der </w:t>
      </w:r>
      <w:r>
        <w:t>Küche zu unterhalten. Es wird gelacht, über den Kurs gesprochen und nach dem Befinden gefragt. Für viele gehört dieser Austausch genauso zum Montag wie das Tanzen.</w:t>
      </w:r>
    </w:p>
    <w:p w:rsidR="00690F71" w:rsidRDefault="008F14E5">
      <w:r>
        <w:t>Gilardi lehnt an der Ballettstange, während sie über „Tanz mit Parkinson!“ berichtet. Der Ur</w:t>
      </w:r>
      <w:r>
        <w:t>sprung des Projekts liegt in New York: Dort entstand 2001 das Programm „Dance for PD“, das heute weltweit angeboten wird. Gemeinsam mit ihrer Kollegin Serena Pettinari absolvierte Gilardi die Ausbildung, um das Konzept nach Augsburg zu holen. Seit der Spie</w:t>
      </w:r>
      <w:r>
        <w:t>lzeit 2025/26 bieten sie den Kurs am Staatstheater an. „PD“ steht für die englische Bezeichnung der Erkrankung „Parkinson’s disease“. „25 Jahre Erfahrung haben gezeigt, dass Tanzen die Parkinson-Therapie unterstützt und die Lebensqualität verbessert“, sagt</w:t>
      </w:r>
      <w:r>
        <w:t xml:space="preserve"> die gebürtige Italienerin. </w:t>
      </w:r>
    </w:p>
    <w:p w:rsidR="00690F71" w:rsidRDefault="008F14E5">
      <w:r>
        <w:t>Das wöchentliche Treffen ist für die Gruppe ein Höhepunkt, so wie für die 83-jährige Inge. Ihr gefällt das Zusammenspiel von Choreografie, Musik und Bildern. Außerdem beflügelt die Herausforderung: „Ich merke dann: Ich kann tro</w:t>
      </w:r>
      <w:r>
        <w:t>tz Erkrankung noch etwas Neues anfangen.“</w:t>
      </w:r>
    </w:p>
    <w:p w:rsidR="00690F71" w:rsidRDefault="008F14E5">
      <w:r>
        <w:t>Gilardi unterstreicht: „Es ist schön, wie Teilnehmende mehr und mehr Selbstbewusstsein entwickeln.“ Weitere Vorteile des Tanzens für Menschen mit Parkinson sind die Förderung von Koordination und Gleichgewicht: „We</w:t>
      </w:r>
      <w:r>
        <w:t>il wir viele Bewegungen üben, die im alltäglichen Leben wenig trainiert werden, verbessert sich die Motorik.“ Tanzen sei aber auch für die Psyche gut, weil dabei Gefühle ausgedrückt werden, ergänzt sie. Nicht zu unterschätzen sei das soziale Miteinander, d</w:t>
      </w:r>
      <w:r>
        <w:t>as sich positiv aufs Gemüt auswirkt.</w:t>
      </w:r>
    </w:p>
    <w:p w:rsidR="00690F71" w:rsidRDefault="008F14E5">
      <w:pPr>
        <w:pStyle w:val="Zwischentitel"/>
      </w:pPr>
      <w:r>
        <w:t>Kein Richtig oder Falsch</w:t>
      </w:r>
    </w:p>
    <w:p w:rsidR="00690F71" w:rsidRDefault="008F14E5">
      <w:r>
        <w:t xml:space="preserve">„Wenn wir Sterne aus der Luft pflücken, gibt es kein Richtig oder Falsch“, betont die Tanzpädagogin. Sie beobachtet im Kurs immer wieder, dass die Erkrankung fast nebensächlich wird, weil die </w:t>
      </w:r>
      <w:r>
        <w:t>Lebensfreude überwiegt. „Die Teilnehmenden sind sehr dankbar, diesen geschützten Raum zu haben.“ Auch für die beiden Tanzpädagoginnen ist das Angebot bereichernd: „Wir lernen viele verschiedene Lebenswege kennen“, hebt Gilardi hervor.</w:t>
      </w:r>
    </w:p>
    <w:p w:rsidR="00690F71" w:rsidRDefault="008F14E5">
      <w:r>
        <w:t>Einige kommen als Paa</w:t>
      </w:r>
      <w:r>
        <w:t>r, so wie die Burschyks. Die Tochter hat ihre Eltern auf das Tanzprojekt aufmerksam gemacht. Bei Hermann Burschyk ist während einer Reha im vergangenen Jahr Parkinson festgestellt worden. „Früher haben meine Frau und ich argentinischen Tango getanzt“, erzä</w:t>
      </w:r>
      <w:r>
        <w:t>hlt er. Hier kann das Ehepaar unter Berücksichtigung der Krankheit sein Hobby weiter ausüben. Der 76-Jährige merkt deutliche Verbesserungen: „Ich kann meinen linken Arm besser bewegen“, sagt er und fügt hinzu. „Das Tanzen gibt mir Kraft für die ganze Woche</w:t>
      </w:r>
      <w:r>
        <w:t>.“ Seine Augen leuchten.</w:t>
      </w:r>
    </w:p>
    <w:p w:rsidR="00690F71" w:rsidRDefault="008F14E5">
      <w:r>
        <w:rPr>
          <w:b/>
        </w:rPr>
        <w:t>Elisabeth Antritter</w:t>
      </w:r>
    </w:p>
    <w:p w:rsidR="00690F71" w:rsidRDefault="008F14E5">
      <w:pPr>
        <w:pStyle w:val="berschrift1"/>
      </w:pPr>
      <w:bookmarkStart w:id="39" w:name="_Toc241048529"/>
      <w:r>
        <w:t>Wieso denn „die Arschkarte ziehen“?</w:t>
      </w:r>
      <w:bookmarkEnd w:id="39"/>
    </w:p>
    <w:p w:rsidR="00690F71" w:rsidRDefault="008F14E5">
      <w:pPr>
        <w:pStyle w:val="Standard-Fett"/>
      </w:pPr>
      <w:r>
        <w:t>Viele im Alltag benutzte Redewendungen haben eine originelle Herkunftsgeschichte</w:t>
      </w:r>
    </w:p>
    <w:p w:rsidR="00690F71" w:rsidRDefault="008F14E5">
      <w:pPr>
        <w:pStyle w:val="Vorspann"/>
      </w:pPr>
      <w:r>
        <w:t>In Gesprächen verwenden Menschen seit eh und je bestimmte Sprüche, um etwas auf den Punkt zu b</w:t>
      </w:r>
      <w:r>
        <w:t>ringen. Den Ursprung wissen viele nicht. Dabei sind manche Redewendungen gar nicht so alt.</w:t>
      </w:r>
    </w:p>
    <w:p w:rsidR="00690F71" w:rsidRDefault="008F14E5">
      <w:r>
        <w:t xml:space="preserve">Wenn jemand die undankbarste Aufgabe im Team übernehmen muss oder es im Gegensatz zu den anderen ganz schlecht läuft, dann heißt es schon mal: </w:t>
      </w:r>
      <w:r>
        <w:rPr>
          <w:b/>
        </w:rPr>
        <w:t>„Du hast aber die Arsc</w:t>
      </w:r>
      <w:r>
        <w:rPr>
          <w:b/>
        </w:rPr>
        <w:t>hkarte gezogen!“</w:t>
      </w:r>
      <w:r>
        <w:t xml:space="preserve"> Jeder weiß sofort, was damit gemeint ist. Doch worauf der Spruch zurückgeht, ist vielen nicht bewusst. Hier kommt die Formulierung aus dem Fußball. Es gibt nämlich eine Handbewegung des Schiedsrichters, die Spielerinnen und Spieler nicht s</w:t>
      </w:r>
      <w:r>
        <w:t>ehen wollen: den Griff zur Gesäßtasche der Hose. Dort bewahren Regelhüterinnen und -hüter traditionell die Rote Karte auf, und wenn sie diese umgangssprachlich genannte „Arschkarte“ ziehen, bedeutet das die Höchststrafe: Platzverweis!</w:t>
      </w:r>
    </w:p>
    <w:p w:rsidR="00690F71" w:rsidRDefault="008F14E5">
      <w:r>
        <w:t>Eine weitere Redewend</w:t>
      </w:r>
      <w:r>
        <w:t xml:space="preserve">ung hat einen traurigen Hintergrund: </w:t>
      </w:r>
      <w:r>
        <w:rPr>
          <w:b/>
        </w:rPr>
        <w:t>„sang- und klanglos“</w:t>
      </w:r>
      <w:r>
        <w:t xml:space="preserve">. Gemeint ist, dass etwas ohne besondere Aufmerksamkeit passiert. Zum Beispiel: Jemand hat völlig unbemerkt von anderen eine Party verlassen. Die Herkunft dieses Ausdrucks geht auf die Zeit der Pest </w:t>
      </w:r>
      <w:r>
        <w:t>zurück, als viele verstorbene Menschen ohne Abschiedsrituale in Massengräbern beerdigt wurden. Da dabei keine Musik erklang und nicht gesungen wurde, sprach man von „sang- und klanglos“.</w:t>
      </w:r>
    </w:p>
    <w:p w:rsidR="00690F71" w:rsidRDefault="008F14E5">
      <w:pPr>
        <w:pStyle w:val="Zwischentitel"/>
      </w:pPr>
      <w:r>
        <w:t>„Sich pudelwohl fühlen“</w:t>
      </w:r>
    </w:p>
    <w:p w:rsidR="00690F71" w:rsidRDefault="008F14E5">
      <w:r>
        <w:t>Natürlich gibt es auch Redewendungen, die für</w:t>
      </w:r>
      <w:r>
        <w:t xml:space="preserve"> etwas Schönes stehen, beispielsweise </w:t>
      </w:r>
      <w:r>
        <w:rPr>
          <w:b/>
        </w:rPr>
        <w:t>„sich pudelwohl fühlen“</w:t>
      </w:r>
      <w:r>
        <w:t>. Namensgeber ist hier die entsprechende Hunderasse. Diese wurde früher bei der Jagd im Wasser eingesetzt. Dort fühlten sich diese Vierbeiner besonders wohl. Daher gaben die Menschen dieser Hunde</w:t>
      </w:r>
      <w:r>
        <w:t>rasse den Namen „Pudel“. Denn das Wort „pudeln“ ist ein umgangssprachlicher Ausdruck für „im Wasser plantschen“. So kam erst das Tier zu seinem Namen, und später hieß es auch bei Situationen oder Erlebnissen, die besonders schön sind, „sich pudelwohl fühle</w:t>
      </w:r>
      <w:r>
        <w:t>n“ – so wie sich eben der gleichnamige Hund in einem Gewässer fühlt.</w:t>
      </w:r>
    </w:p>
    <w:p w:rsidR="00690F71" w:rsidRDefault="008F14E5">
      <w:r>
        <w:t xml:space="preserve">Von einem anderen Tier kommt der Spruch „ </w:t>
      </w:r>
      <w:r>
        <w:rPr>
          <w:b/>
        </w:rPr>
        <w:t>sich ins gemachte Nest setzen“.</w:t>
      </w:r>
      <w:r>
        <w:t xml:space="preserve"> Damit ist gemeint, das Lob oder den Erfolg für die Leistung einer anderen Person einzuheimsen, wie der neue Chef </w:t>
      </w:r>
      <w:r>
        <w:t>eines Unternehmens, der bereits kurz nach seinem Einstieg einen Rekordgewinn präsentieren darf. In dem Fall steht der Kuckuck für diesen Ausdruck Pate. Denn während sich andere Vogelarten die Mühe machen und eigene Nester bauen, in denen sie ihre Eier lege</w:t>
      </w:r>
      <w:r>
        <w:t>n, und die das Zuhause für ihre Küken sind, legt der Kuckuck seine Eier in andere, bereits fertige Nester und überlässt den Nestbau sowie das Ausbrüten seines Nachwuchses somit anderen.</w:t>
      </w:r>
    </w:p>
    <w:p w:rsidR="00690F71" w:rsidRDefault="008F14E5">
      <w:pPr>
        <w:pStyle w:val="Zwischentitel"/>
      </w:pPr>
      <w:r>
        <w:t>„Stein vom Herzen“</w:t>
      </w:r>
    </w:p>
    <w:p w:rsidR="00690F71" w:rsidRDefault="008F14E5">
      <w:r>
        <w:t>Ein Spruch, der besonders gerne verwendet wird, ist</w:t>
      </w:r>
      <w:r>
        <w:t xml:space="preserve"> auch: </w:t>
      </w:r>
      <w:r>
        <w:rPr>
          <w:b/>
        </w:rPr>
        <w:t>„Mir fällt ein Stein vom Herzen.</w:t>
      </w:r>
      <w:r>
        <w:t>“ Dieser geht bis ins Mittelalter zurück, ist aber bis heute sehr nahe am Ursprung. Die Redewendung beschreibt den Moment, wenn eine Beklemmung in der Brustgegend einer auch körperlich spürbaren großen Erleichterung w</w:t>
      </w:r>
      <w:r>
        <w:t>eicht. Sobald sich die Situation entspannt hat, hört die Beklemmung auf, und es fällt „ein Stein vom Herzen“.</w:t>
      </w:r>
    </w:p>
    <w:p w:rsidR="00690F71" w:rsidRDefault="008F14E5">
      <w:r>
        <w:t xml:space="preserve">Gut möglich, dass die Person dann vor Freude </w:t>
      </w:r>
      <w:r>
        <w:rPr>
          <w:b/>
        </w:rPr>
        <w:t>„sein Geld auf den Kopf haut“</w:t>
      </w:r>
      <w:r>
        <w:t>. Diese Redewendung geht auf die klassische Münze zurück, die ja auf ein</w:t>
      </w:r>
      <w:r>
        <w:t>er Seite den Wert zeigt, die Zahl, und auf der anderen einen Kopf. Wenn jemand auf den Tresen im Wirtshaus das Geld legte, haute er es umgangssprachlich auf den Kopf.</w:t>
      </w:r>
    </w:p>
    <w:p w:rsidR="00690F71" w:rsidRDefault="008F14E5">
      <w:r>
        <w:t xml:space="preserve">Mehr über Redewendungen und ihre Herkunft steht auf folgender Webseite: </w:t>
      </w:r>
      <w:hyperlink r:id="rId11">
        <w:r>
          <w:rPr>
            <w:color w:val="0015B7"/>
          </w:rPr>
          <w:t>geo.de/geolino/redewendungen</w:t>
        </w:r>
      </w:hyperlink>
      <w:r>
        <w:t xml:space="preserve"> </w:t>
      </w:r>
      <w:r>
        <w:rPr>
          <w:b/>
        </w:rPr>
        <w:t>Sebastian Heise</w:t>
      </w:r>
    </w:p>
    <w:p w:rsidR="00690F71" w:rsidRDefault="008F14E5">
      <w:pPr>
        <w:pStyle w:val="berschrift1"/>
      </w:pPr>
      <w:bookmarkStart w:id="40" w:name="_Toc241048530"/>
      <w:r>
        <w:t>Immer mehr essen unterwegs</w:t>
      </w:r>
      <w:bookmarkEnd w:id="40"/>
    </w:p>
    <w:p w:rsidR="00690F71" w:rsidRDefault="008F14E5">
      <w:pPr>
        <w:pStyle w:val="Vorspann"/>
      </w:pPr>
      <w:r>
        <w:t>„Essen auf die Hand“ wird immer beliebter. Der Umsatz mit Snacks und Gerichten, die schnell unterwegs gekauft und ohne Besteck gegessen werden, s</w:t>
      </w:r>
      <w:r>
        <w:t xml:space="preserve">teigt. Das zeigt eine Studie des Handelsforschungsinstituts EHI. </w:t>
      </w:r>
    </w:p>
    <w:p w:rsidR="00690F71" w:rsidRDefault="008F14E5">
      <w:r>
        <w:t>Das EHI analysierte den Umsatz der sogenannten Handelsgastronomie, also die Verkäufe von verzehrfertig zubereiteten Speisen, Snacks und Getränken, die in oder in der Nähe von Einkaufsorten v</w:t>
      </w:r>
      <w:r>
        <w:t>erkauft werden. Also in Bäckereien, Stehcafés, Imbissen, an heißen Theken in Einkaufszentren oder Tankstellen bis hin zu Essensangeboten in Möbel- oder Baumärkten. Handelsunternehmen mit eigenen Essensangeboten sehen dieses Angebot auch als Mittel zur Kund</w:t>
      </w:r>
      <w:r>
        <w:t xml:space="preserve">enbindung. </w:t>
      </w:r>
    </w:p>
    <w:p w:rsidR="00690F71" w:rsidRDefault="008F14E5">
      <w:r>
        <w:t>Laut Nachrichtendienst dpa erzielten diese Händler 2025 mit rund 13,3 Milliarden Euro einen Rekordumsatz – 7,1 Prozent mehr als im Vorjahr. Mittags wird am meisten verkauft. Besonders beliebt sind Frikadellen, Currywurst, belegte Brötchen und S</w:t>
      </w:r>
      <w:r>
        <w:t xml:space="preserve">chnitzel. </w:t>
      </w:r>
    </w:p>
    <w:p w:rsidR="00690F71" w:rsidRDefault="008F14E5">
      <w:pPr>
        <w:pStyle w:val="Zwischentitel"/>
      </w:pPr>
      <w:r>
        <w:t>Essengehen zu teuer</w:t>
      </w:r>
    </w:p>
    <w:p w:rsidR="00690F71" w:rsidRDefault="008F14E5">
      <w:r>
        <w:t xml:space="preserve">Klassische Restaurants und Gaststätten klagen dagegen über Umsatzeinbrüche. Allgemein gestiegene Preise lassen viele beim Essengehen sparen. Die Kundschaft weiche zunehmend auf günstigere Alternativen am Imbiss aus, vermutet </w:t>
      </w:r>
      <w:r>
        <w:t xml:space="preserve">das EHI.  </w:t>
      </w:r>
      <w:r>
        <w:rPr>
          <w:b/>
        </w:rPr>
        <w:t>bsc</w:t>
      </w:r>
    </w:p>
    <w:p w:rsidR="00690F71" w:rsidRDefault="008F14E5">
      <w:pPr>
        <w:pStyle w:val="berschrift1"/>
      </w:pPr>
      <w:bookmarkStart w:id="41" w:name="_Toc241048531"/>
      <w:r>
        <w:t>Chatbots sind kein Ersatz für Menschen</w:t>
      </w:r>
      <w:bookmarkEnd w:id="41"/>
    </w:p>
    <w:p w:rsidR="00690F71" w:rsidRDefault="008F14E5">
      <w:pPr>
        <w:pStyle w:val="Standard-Fett"/>
      </w:pPr>
      <w:r>
        <w:t>Geht es um Beratung, Kundenservice und Erreichbarkeit, sind die Apotheken vor Ort die klaren Gewinner</w:t>
      </w:r>
    </w:p>
    <w:p w:rsidR="00690F71" w:rsidRDefault="008F14E5">
      <w:pPr>
        <w:pStyle w:val="Vorspann"/>
      </w:pPr>
      <w:r>
        <w:t xml:space="preserve">Ob mit oder ohne Rezept: Es gibt verschiedene Möglichkeiten, Medikamente zu bekommen. Neben den </w:t>
      </w:r>
      <w:r>
        <w:t>klassischen Apotheken vor Ort können Arzneimittel auch in Online-Shops oder rezeptfrei sogar in Drogerien erworben werden. Doch es gibt große Unterschiede beim Service der Anbieter.</w:t>
      </w:r>
    </w:p>
    <w:p w:rsidR="00690F71" w:rsidRDefault="008F14E5">
      <w:r>
        <w:t>Laut dem Statistischen Jahrbuch der Bundesvereinigung Deutscher Apothekerv</w:t>
      </w:r>
      <w:r>
        <w:t>erbände (ABDA) aus dem Jahr 2026 nutzen drei Millionen Patientinnen und Patienten täglich öffentliche Apotheken zur Versorgung mit Arzneimitteln. 96 Prozent der Deutschen halten die Apotheken vor Ort für wichtig, die meisten sogar für sehr wichtig, und hab</w:t>
      </w:r>
      <w:r>
        <w:t xml:space="preserve">en großes Vertrauen in die pharmazeutischen Fachkräfte. Neben der Abgabe von Fertigarzneimitteln gehört zu den Aufgaben der Apotheken auch die Herstellung individueller Rezepturen sowie wichtige Gemeinwohlpflichten, etwa der Nacht- und Notdienst. </w:t>
      </w:r>
    </w:p>
    <w:p w:rsidR="00690F71" w:rsidRDefault="008F14E5">
      <w:r>
        <w:t>Die klas</w:t>
      </w:r>
      <w:r>
        <w:t>sische Apotheke vor Ort bietet Patientinnen und Patienten viele Vorteile, denen Online-Apotheken wie Shop Apotheke oder Doc Morris nicht oder nur mäßig gerecht werden können. Zwar haben diese oft gute Angebote, doch viele Menschen schätzen vor allem die pe</w:t>
      </w:r>
      <w:r>
        <w:t>rsönliche Beratung vor Ort. Dies spielt insbesondere eine wichtige Rolle bei der Poly- oder Multimedikation. Davon spricht man, wenn Patientinnen und Patienten parallel mehrere systemisch wirkende Medikamente dauerhaft einnehmen.</w:t>
      </w:r>
    </w:p>
    <w:p w:rsidR="00690F71" w:rsidRDefault="008F14E5">
      <w:pPr>
        <w:pStyle w:val="Zwischentitel"/>
      </w:pPr>
      <w:r>
        <w:t>Über drei Medikamente</w:t>
      </w:r>
    </w:p>
    <w:p w:rsidR="00690F71" w:rsidRDefault="008F14E5">
      <w:r>
        <w:t>Etwa</w:t>
      </w:r>
      <w:r>
        <w:t xml:space="preserve"> ein Viertel der Deutschen ist langfristig auf drei oder mehr Arzneimittel angewiesen, berichtet die ABDA. 7,6 Millionen Menschen ab 65 Jahren nehmen täglich fünf oder mehr verordnete Präparate ein – jede dritte Person zwischen 75 und 80 Jahren sogar mehr </w:t>
      </w:r>
      <w:r>
        <w:t xml:space="preserve">als acht. </w:t>
      </w:r>
    </w:p>
    <w:p w:rsidR="00690F71" w:rsidRDefault="008F14E5">
      <w:r>
        <w:t>Ein strukturiertes Medikationsmanagement trägt dazu bei, die Risiken der Polymedikation zu verringern. So können mögliche Sicherheitsrisiken, wie etwa Wechselwirkungen zwischen verschiedenen Medikamenten, frühzeitig erkannt und vermieden werden.</w:t>
      </w:r>
      <w:r>
        <w:t xml:space="preserve"> Das Apothekenteam erfasst dazu sämtliche angewendeten Medikamente und prüft deren Zusammenspiel. Anschließend wird ein aktueller, vollständiger Medikamentenplan erstellt, den die Patientinnen und Patienten mit nach Hause nehmen können.</w:t>
      </w:r>
    </w:p>
    <w:p w:rsidR="00690F71" w:rsidRDefault="008F14E5">
      <w:r>
        <w:t>Online-Versandshops</w:t>
      </w:r>
      <w:r>
        <w:t xml:space="preserve"> bieten zwar Chatbots oder telefonische Hotlines zur Beratung an, können aber eine persönliche Beratung vor Ort durch geschultes Fachpersonal nicht ersetzen. So zeigte ein Praxistest der „Frankfurter Allgemeinen Sonntagszeitung“, dass die digitalen Assiste</w:t>
      </w:r>
      <w:r>
        <w:t xml:space="preserve">nten mehrerer Versandapotheken einfache pharmazeutische Fragen teilweise nur unzureichend oder gar nicht beantworten konnten. </w:t>
      </w:r>
    </w:p>
    <w:p w:rsidR="00690F71" w:rsidRDefault="008F14E5">
      <w:r>
        <w:t>Auch in Sachen Nacht- und Notdienst haben die lokalen Apotheken die Nase vorn: Wer spätabends oder nachts plötzlich erkrankt oder</w:t>
      </w:r>
      <w:r>
        <w:t xml:space="preserve"> dringend Schmerzmittel benötigt, muss nicht auf die nächste Lieferung eines Online-Versandhandels warten.</w:t>
      </w:r>
    </w:p>
    <w:p w:rsidR="00690F71" w:rsidRDefault="008F14E5">
      <w:pPr>
        <w:pStyle w:val="Zwischentitel"/>
      </w:pPr>
      <w:r>
        <w:t xml:space="preserve">Botendienste nutzen </w:t>
      </w:r>
    </w:p>
    <w:p w:rsidR="00690F71" w:rsidRDefault="008F14E5">
      <w:r>
        <w:t>Obwohl der Großteil der Patientinnen und Patienten die Apotheken vor Ort schätzt und regelmäßig besucht, ist die Entwicklung der</w:t>
      </w:r>
      <w:r>
        <w:t xml:space="preserve"> Apothekenzahl in Deutschland besorgniserregend: Die Zahl sinkt immer weiter und hat Ende Juni mit 16 488 den niedrigsten Wert seit fast 50 Jahren erreicht, zeigen aktuelle Daten der ABDA. Allein 2025 gab es bundesweit 502 Schließungen. Der drastische Rück</w:t>
      </w:r>
      <w:r>
        <w:t xml:space="preserve">gang führt dazu, dass immer mehr Menschen längere Wege bis zur nächstgelegenen Apotheke in Kauf nehmen müssen. </w:t>
      </w:r>
    </w:p>
    <w:p w:rsidR="00690F71" w:rsidRDefault="008F14E5">
      <w:r>
        <w:t>Wer mobilitätseingeschränkt ist oder wenig Zeit hat, muss nicht unbedingt im Internet bestellen. Viele Apotheken liefern die Medikamente auch ko</w:t>
      </w:r>
      <w:r>
        <w:t xml:space="preserve">stenlos nach Hause. Die Beratung zu den Arzneimitteln erfolgt entweder persönlich vor Ort in der Apotheke, telefonisch oder bei der Übergabe durch pharmazeutisches Fachpersonal. </w:t>
      </w:r>
      <w:r>
        <w:rPr>
          <w:b/>
        </w:rPr>
        <w:t>Jacqueline Müller</w:t>
      </w:r>
    </w:p>
    <w:p w:rsidR="00690F71" w:rsidRDefault="008F14E5">
      <w:pPr>
        <w:pStyle w:val="berschrift1"/>
      </w:pPr>
      <w:bookmarkStart w:id="42" w:name="_Toc241048532"/>
      <w:r>
        <w:t>Auch das Abdrehen kostet</w:t>
      </w:r>
      <w:bookmarkEnd w:id="42"/>
    </w:p>
    <w:p w:rsidR="00690F71" w:rsidRDefault="008F14E5">
      <w:pPr>
        <w:pStyle w:val="Standard-Fett"/>
      </w:pPr>
      <w:r>
        <w:t>Stromsperren bedeuten existenzielle</w:t>
      </w:r>
      <w:r>
        <w:t xml:space="preserve"> Bedrohung</w:t>
      </w:r>
    </w:p>
    <w:p w:rsidR="00690F71" w:rsidRDefault="008F14E5">
      <w:pPr>
        <w:pStyle w:val="Vorspann"/>
      </w:pPr>
      <w:r>
        <w:t>Ohne Strom geht nichts mehr. Kein Licht, keine Kühlung, keine Kochgelegenheit, keine digitale Kommunikation. Nicht umsonst bedeutet die Redewendung „jemandem den Saft abdrehen“, eine Person handlungsunfähig zu machen. Zu dieser existenziellen Be</w:t>
      </w:r>
      <w:r>
        <w:t xml:space="preserve">drohung kommt bei Stromsperrungen unter Umständen noch eine weitere Belastung hinzu: die Schuldenspirale durch zusätzliche Sperr- und Entsperrkosten. </w:t>
      </w:r>
    </w:p>
    <w:p w:rsidR="00690F71" w:rsidRDefault="008F14E5">
      <w:r>
        <w:t>Laut Bundesnetzagentur wurden im Jahr 2025 knapp 254 000 Stromsperrungen in Deutschland durchgeführt, Tendenz steigend. Ab einem nicht gezahlten Betrag von mindestens 100 Euro und bei Nichterfüllung von Zahlungsverpflichtungen in Höhe von zwei Monatsabschl</w:t>
      </w:r>
      <w:r>
        <w:t xml:space="preserve">ägen kann ein Energieversorger den Strom unterbrechen. </w:t>
      </w:r>
    </w:p>
    <w:p w:rsidR="00690F71" w:rsidRDefault="008F14E5">
      <w:r>
        <w:t>Das darf allerdings nicht unangekündigt passieren, sondern muss zwei Wochen vorher schriftlich angedroht werden. Es bleibt also niemand sofort im Dunklen sitzen bei einer übersehenen Rechnung. Wer die</w:t>
      </w:r>
      <w:r>
        <w:t xml:space="preserve"> Ankündigungen aber ignoriert und nicht zahlt oder zahlen kann, muss neben den Sperrkosten für das Abklemmen oder Verplomben des Zählers auch noch die Entsperrkosten für den technischen Aufwand bei der späteren Wiederfreigabe übernehmen. Insgesamt sind dan</w:t>
      </w:r>
      <w:r>
        <w:t>n laut Verbraucherzentrale bis zu 230 Euro je nach Anbieter fällig. Hinzu kommen noch die offenen Rechnungen sowie Mahngebühren, bevor der Strom wieder läuft. Für Menschen, die ohnehin schon finanziell am Limit sind, eine große, kaum zu stemmende Belastung</w:t>
      </w:r>
      <w:r>
        <w:t>.</w:t>
      </w:r>
    </w:p>
    <w:p w:rsidR="00690F71" w:rsidRDefault="008F14E5">
      <w:r>
        <w:t>Der VdK fordert, Energiearmut bundesweit einheitlich zu definieren, regelmäßig zu erfassen und systematisch zu bekämpfen. Dafür müssen Hilfen zur Senkung von Energieverbrauch und Präventivmaßnahmen, wie Energieberatungsstellen, gestärkt werden. Haushalte</w:t>
      </w:r>
      <w:r>
        <w:t xml:space="preserve"> mit niedrigen Einkommen müssen gezielt entlastet und Strom- und Energiesperren aufgrund finanzieller Not verhindert werden, indem durch Kooperationen der Energieversorger, Schuldnerberatungsstellen und Sozialleistungsträger Entschuldungsverfahren bei droh</w:t>
      </w:r>
      <w:r>
        <w:t xml:space="preserve">ender Sperrung eingeleitet werden.  </w:t>
      </w:r>
      <w:r>
        <w:rPr>
          <w:b/>
        </w:rPr>
        <w:t>aka</w:t>
      </w:r>
    </w:p>
    <w:p w:rsidR="00690F71" w:rsidRDefault="008F14E5">
      <w:pPr>
        <w:pStyle w:val="berschrift1"/>
      </w:pPr>
      <w:bookmarkStart w:id="43" w:name="_Toc241048533"/>
      <w:r>
        <w:t>Jedes fünfte Auffahren ist fehlerhaft</w:t>
      </w:r>
      <w:bookmarkEnd w:id="43"/>
    </w:p>
    <w:p w:rsidR="00690F71" w:rsidRDefault="008F14E5">
      <w:pPr>
        <w:pStyle w:val="Standard-Fett"/>
      </w:pPr>
      <w:r>
        <w:t>Beschleunigungsstreifen bei Fernstraßen bergen hohes Gefahrenpotenzial</w:t>
      </w:r>
    </w:p>
    <w:p w:rsidR="00690F71" w:rsidRDefault="008F14E5">
      <w:pPr>
        <w:pStyle w:val="Vorspann"/>
      </w:pPr>
      <w:r>
        <w:t>Das Auffahren auf Autobahnen und Bundesstraßen gehört für viele zu den herausforderndsten Aufgaben im Straß</w:t>
      </w:r>
      <w:r>
        <w:t>enverkehr. Eine bundesweite Erhebung des Auto Clubs Europa (ACE) belegt, dass in derartigen Situationen ein hohes Fehlerpotenzial steckt.</w:t>
      </w:r>
    </w:p>
    <w:p w:rsidR="00690F71" w:rsidRDefault="008F14E5">
      <w:r>
        <w:t>Insgesamt hat der ACE in diesem Jahr 134 Auffahrten zu Fernstraßen in ganz Deutschland untersucht und dabei unter ande</w:t>
      </w:r>
      <w:r>
        <w:t>rem darauf geachtet, ob geblinkt wurde, ob der Seitenstreifen unerlaubt weiter befahren oder direkt auf die linke Spur gewechselt wurde. Bei knapp 18 000 beobachteten Fahrzeugen wurden in etwa 3600 Fällen (20 Prozent) Auffälligkeiten, Fahrfehler oder Gefäh</w:t>
      </w:r>
      <w:r>
        <w:t xml:space="preserve">rdungen festgestellt. Da bei einzelnen Auffahrvorgängen mehrere Verstöße festgestellt wurden, dokumentierten die Testerinnen und Tester insgesamt 4044 einzelne Auffälligkeiten. </w:t>
      </w:r>
    </w:p>
    <w:p w:rsidR="00690F71" w:rsidRDefault="008F14E5">
      <w:pPr>
        <w:pStyle w:val="Zwischentitel"/>
      </w:pPr>
      <w:r>
        <w:t>So geht es richtig</w:t>
      </w:r>
    </w:p>
    <w:p w:rsidR="00690F71" w:rsidRDefault="008F14E5">
      <w:r>
        <w:t>Wer sicher auf eine Fernstraße auffahren möchte, sollte lau</w:t>
      </w:r>
      <w:r>
        <w:t>t ACE den Beschleunigungsstreifen über seine gesamte Länge nutzen, frühzeitig blinken und die Geschwindigkeit zügig an den fließenden Verkehr anpassen. Dass genau das vielen Verkehrsteilnehmenden nicht immer gelingt, zeigen die Ergebnisse der Untersuchung:</w:t>
      </w:r>
      <w:r>
        <w:t xml:space="preserve"> Fehlerhaftes, falsches oder unterlassenes Blinken war mit 69 Prozent das mit Abstand häufigste Fehlverhalten. Mögliche Folge: In derartigen Fällen können andere Autofahrende die Situation schlechter einschätzen, und das Risiko plötzlicher Brems- oder Ausw</w:t>
      </w:r>
      <w:r>
        <w:t>eichmanöver steigt.</w:t>
      </w:r>
    </w:p>
    <w:p w:rsidR="00690F71" w:rsidRDefault="008F14E5">
      <w:r>
        <w:t>Mit 13 Prozent die zweithäufigste Auffälligkeit war der direkte Wechsel vom Beschleunigungsstreifen auf die linke Fahrspur. Dieses Manöver stuft der Automobilclub als deutlich gefährlicher ein, weil es den fließenden Verkehr auf mehrere</w:t>
      </w:r>
      <w:r>
        <w:t xml:space="preserve">n Fahrstreifen negativ beeinflussen kann. </w:t>
      </w:r>
    </w:p>
    <w:p w:rsidR="00690F71" w:rsidRDefault="008F14E5">
      <w:r>
        <w:t xml:space="preserve">Rang drei mit zehn Prozent belegt die unzulässige Nutzung des Standstreifens unmittelbar im Anschluss an den Beschleunigungsstreifen. Denn nach geltendem Recht müssen Autofahrende, wenn sie sich nicht rechtzeitig </w:t>
      </w:r>
      <w:r>
        <w:t>in den fließenden Verkehr einordnen können, am Ende des Beschleunigungsstreifens anhalten und auf eine sichere Einfädelmöglichkeit warten. Dieses regelkonforme Verhalten wurde in zwei Prozent der Fälle dokumentiert, birgt durch das anschließende Anfahren a</w:t>
      </w:r>
      <w:r>
        <w:t>us dem Stand aufgrund der sonst hohen Geschwindigkeiten aber auch Risiken für den nachfolgenden Verkehr.</w:t>
      </w:r>
    </w:p>
    <w:p w:rsidR="00690F71" w:rsidRDefault="008F14E5">
      <w:r>
        <w:t>Um Gefahren zu reduzieren, sieht der ACE neben gegenseitiger Rücksichtnahme unter anderem eine intensivere Aufklärung über korrektes Blinken und sicher</w:t>
      </w:r>
      <w:r>
        <w:t xml:space="preserve">es Einfädeln sowie die Überprüfung kritischer Auffahrten als wichtige Maßnahmen an. </w:t>
      </w:r>
      <w:r>
        <w:rPr>
          <w:b/>
        </w:rPr>
        <w:t>Mirko Besch</w:t>
      </w:r>
    </w:p>
    <w:p w:rsidR="00690F71" w:rsidRDefault="008F14E5">
      <w:pPr>
        <w:pStyle w:val="berschrift1"/>
      </w:pPr>
      <w:bookmarkStart w:id="44" w:name="_Toc241048534"/>
      <w:r>
        <w:t>Spezialist für Bösewichte</w:t>
      </w:r>
      <w:bookmarkEnd w:id="44"/>
    </w:p>
    <w:p w:rsidR="00690F71" w:rsidRDefault="008F14E5">
      <w:pPr>
        <w:pStyle w:val="Standard-Fett"/>
      </w:pPr>
      <w:r>
        <w:t xml:space="preserve"> Christoph Waltz wird 70 Jahre alt</w:t>
      </w:r>
    </w:p>
    <w:p w:rsidR="00690F71" w:rsidRDefault="008F14E5">
      <w:pPr>
        <w:pStyle w:val="Vorspann"/>
      </w:pPr>
      <w:r>
        <w:t xml:space="preserve">Christoph Waltz ist einer der gefragtesten deutschsprachigen Schauspieler weltweit. Der zweifache Oscar-Preisträger feiert am 4. Oktober seinen 70. Geburtstag. </w:t>
      </w:r>
    </w:p>
    <w:p w:rsidR="00690F71" w:rsidRDefault="008F14E5">
      <w:r>
        <w:t xml:space="preserve">Sein Beruf wurde Waltz quasi in die Wiege gelegt. Schon die Großeltern waren Schauspieler, und </w:t>
      </w:r>
      <w:r>
        <w:t xml:space="preserve">die Eltern – die Mutter war Österreicherin, der Vater Deutscher – arbeiteten als Kostüm- und Bühnenbildner. Waltz studierte am Max Reinhardt Seminar in Wien und dem Lee Strasberg Theatre and Film Institute in New York. In den 1970er- und 1980er-Jahren war </w:t>
      </w:r>
      <w:r>
        <w:t xml:space="preserve">er auf verschiedenen Bühnen im deutschsprachigen Raum zu sehen. Daneben spielte er kleinere Rollen in „Derrick“, „Kommissar Rex“ und „Der Alte“ und wirkte in mehreren Kinofilmen mit. </w:t>
      </w:r>
    </w:p>
    <w:p w:rsidR="00690F71" w:rsidRDefault="008F14E5">
      <w:r>
        <w:t xml:space="preserve">Mit Fernsehproduktionen wie „König der letzten Tage“ und „Du bist nicht </w:t>
      </w:r>
      <w:r>
        <w:t>allein – die Roy Black Story“ wurde er einem größeren Publikum bekannt. 2009 gelang ihm mit Quentin Tarantinos Kinofilm „Inglourious Basterds“ der internationale Durchbruch. Waltz verkörperte den Nazi-Oberst Landa, einen eleganten, aber skrupellosen Judenj</w:t>
      </w:r>
      <w:r>
        <w:t>äger. Dafür erhielt er viele Auszeichnungen, darunter auch den Oscar als bester Nebendarsteller. Einen zweiten Oscar brachte ihm 2013 die Rolle als Kopfgeldjäger Dr. King Schultz in „Django Unchained“ ein.</w:t>
      </w:r>
    </w:p>
    <w:p w:rsidR="00690F71" w:rsidRDefault="008F14E5">
      <w:r>
        <w:t>Vielschichtige und schwierige Charaktere sind Walt</w:t>
      </w:r>
      <w:r>
        <w:t>z‘ Markenzeichen. Er spielt charmante Bösewichte, sympathische Schurken und Psychopathen mit freundlichem Gesicht. Seine Figuren sind höflich, gebildet und scheinen vordergründig harmlos, doch sie agieren eiskalt. In einem Interview sagte er: „Ich könnte m</w:t>
      </w:r>
      <w:r>
        <w:t>ein Leben lang nur Bösewichte spielen, aber sie müssen sich voneinander unterscheiden.“</w:t>
      </w:r>
    </w:p>
    <w:p w:rsidR="00690F71" w:rsidRDefault="008F14E5">
      <w:r>
        <w:t xml:space="preserve">2011 war er an der Seite von Jodie Foster und Kate Winslet in Roman Polanskis „Der Gott des Gemetzels“ zu sehen. 2015 und 2021 spielte er James Bonds Widersacher Ernst </w:t>
      </w:r>
      <w:r>
        <w:t xml:space="preserve">Stavro Blofeld. Zu seinen jüngsten Filmen zählen „Dracula: A Love Tale“ und „Frankenstein“. Als Regisseur hat er zudem mehrere Opern inszeniert. Waltz lebt in Los Angeles und Berlin.  </w:t>
      </w:r>
      <w:r>
        <w:rPr>
          <w:b/>
        </w:rPr>
        <w:t>ali</w:t>
      </w:r>
    </w:p>
    <w:sectPr w:rsidR="00690F71">
      <w:headerReference w:type="defaul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694" w:rsidRDefault="00F94694" w:rsidP="00F94694">
      <w:pPr>
        <w:spacing w:after="0" w:line="240" w:lineRule="auto"/>
      </w:pPr>
      <w:r>
        <w:separator/>
      </w:r>
    </w:p>
  </w:endnote>
  <w:endnote w:type="continuationSeparator" w:id="0">
    <w:p w:rsidR="00F94694" w:rsidRDefault="00F94694" w:rsidP="00F9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694" w:rsidRDefault="00F94694" w:rsidP="00F94694">
      <w:pPr>
        <w:spacing w:after="0" w:line="240" w:lineRule="auto"/>
      </w:pPr>
      <w:r>
        <w:separator/>
      </w:r>
    </w:p>
  </w:footnote>
  <w:footnote w:type="continuationSeparator" w:id="0">
    <w:p w:rsidR="00F94694" w:rsidRDefault="00F94694" w:rsidP="00F9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E92" w:rsidRDefault="008F14E5" w:rsidP="00AA6B2B">
    <w:pPr>
      <w:pStyle w:val="Kopfzeile"/>
      <w:tabs>
        <w:tab w:val="clear" w:pos="4536"/>
        <w:tab w:val="center" w:pos="6804"/>
      </w:tabs>
    </w:pPr>
    <w:sdt>
      <w:sdtPr>
        <w:alias w:val="Titel"/>
        <w:tag w:val=""/>
        <w:id w:val="-429432510"/>
        <w:placeholder>
          <w:docPart w:val="B61484FF5A454B3E9CE5D94D9A8856E5"/>
        </w:placeholder>
        <w:dataBinding w:prefixMappings="xmlns:ns0='http://purl.org/dc/elements/1.1/' xmlns:ns1='http://schemas.openxmlformats.org/package/2006/metadata/core-properties' " w:xpath="/ns1:coreProperties[1]/ns0:title[1]" w:storeItemID="{6C3C8BC8-F283-45AE-878A-BAB7291924A1}"/>
        <w:text/>
      </w:sdtPr>
      <w:sdtEndPr/>
      <w:sdtContent>
        <w:r>
          <w:t>VdK-Zeitung Gesamt Oktober-2026</w:t>
        </w:r>
      </w:sdtContent>
    </w:sdt>
    <w:r w:rsidR="00FC7E92">
      <w:tab/>
    </w:r>
    <w:r w:rsidR="00FC7E92">
      <w:tab/>
      <w:t xml:space="preserve">Seite </w:t>
    </w:r>
    <w:sdt>
      <w:sdtPr>
        <w:id w:val="-950161867"/>
        <w:docPartObj>
          <w:docPartGallery w:val="Page Numbers (Top of Page)"/>
          <w:docPartUnique/>
        </w:docPartObj>
      </w:sdtPr>
      <w:sdtEndPr/>
      <w:sdtContent>
        <w:r w:rsidR="00FC7E92">
          <w:fldChar w:fldCharType="begin"/>
        </w:r>
        <w:r w:rsidR="00FC7E92">
          <w:instrText>PAGE   \* MERGEFORMAT</w:instrText>
        </w:r>
        <w:r w:rsidR="00FC7E92">
          <w:fldChar w:fldCharType="separate"/>
        </w:r>
        <w:r w:rsidR="00AA6B2B">
          <w:rPr>
            <w:noProof/>
          </w:rPr>
          <w:t>1</w:t>
        </w:r>
        <w:r w:rsidR="00FC7E92">
          <w:fldChar w:fldCharType="end"/>
        </w:r>
      </w:sdtContent>
    </w:sdt>
  </w:p>
  <w:p w:rsidR="00F94694" w:rsidRDefault="00F946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A62CE0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42D4003C"/>
    <w:multiLevelType w:val="hybridMultilevel"/>
    <w:tmpl w:val="3B1287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9A288A"/>
    <w:multiLevelType w:val="hybridMultilevel"/>
    <w:tmpl w:val="9844FE86"/>
    <w:lvl w:ilvl="0" w:tplc="1E088BA4">
      <w:start w:val="1"/>
      <w:numFmt w:val="upperLetter"/>
      <w:lvlText w:val="%1."/>
      <w:lvlJc w:val="left"/>
      <w:pPr>
        <w:ind w:left="1070" w:hanging="360"/>
      </w:pPr>
      <w:rPr>
        <w:rFonts w:cs="Times New Roman" w:hint="default"/>
      </w:rPr>
    </w:lvl>
    <w:lvl w:ilvl="1" w:tplc="04070019" w:tentative="1">
      <w:start w:val="1"/>
      <w:numFmt w:val="lowerLetter"/>
      <w:lvlText w:val="%2."/>
      <w:lvlJc w:val="left"/>
      <w:pPr>
        <w:ind w:left="1790" w:hanging="360"/>
      </w:pPr>
      <w:rPr>
        <w:rFonts w:cs="Times New Roman"/>
      </w:rPr>
    </w:lvl>
    <w:lvl w:ilvl="2" w:tplc="0407001B" w:tentative="1">
      <w:start w:val="1"/>
      <w:numFmt w:val="lowerRoman"/>
      <w:lvlText w:val="%3."/>
      <w:lvlJc w:val="right"/>
      <w:pPr>
        <w:ind w:left="2510" w:hanging="180"/>
      </w:pPr>
      <w:rPr>
        <w:rFonts w:cs="Times New Roman"/>
      </w:rPr>
    </w:lvl>
    <w:lvl w:ilvl="3" w:tplc="0407000F" w:tentative="1">
      <w:start w:val="1"/>
      <w:numFmt w:val="decimal"/>
      <w:lvlText w:val="%4."/>
      <w:lvlJc w:val="left"/>
      <w:pPr>
        <w:ind w:left="3230" w:hanging="360"/>
      </w:pPr>
      <w:rPr>
        <w:rFonts w:cs="Times New Roman"/>
      </w:rPr>
    </w:lvl>
    <w:lvl w:ilvl="4" w:tplc="04070019" w:tentative="1">
      <w:start w:val="1"/>
      <w:numFmt w:val="lowerLetter"/>
      <w:lvlText w:val="%5."/>
      <w:lvlJc w:val="left"/>
      <w:pPr>
        <w:ind w:left="3950" w:hanging="360"/>
      </w:pPr>
      <w:rPr>
        <w:rFonts w:cs="Times New Roman"/>
      </w:rPr>
    </w:lvl>
    <w:lvl w:ilvl="5" w:tplc="0407001B" w:tentative="1">
      <w:start w:val="1"/>
      <w:numFmt w:val="lowerRoman"/>
      <w:lvlText w:val="%6."/>
      <w:lvlJc w:val="right"/>
      <w:pPr>
        <w:ind w:left="4670" w:hanging="180"/>
      </w:pPr>
      <w:rPr>
        <w:rFonts w:cs="Times New Roman"/>
      </w:rPr>
    </w:lvl>
    <w:lvl w:ilvl="6" w:tplc="0407000F" w:tentative="1">
      <w:start w:val="1"/>
      <w:numFmt w:val="decimal"/>
      <w:lvlText w:val="%7."/>
      <w:lvlJc w:val="left"/>
      <w:pPr>
        <w:ind w:left="5390" w:hanging="360"/>
      </w:pPr>
      <w:rPr>
        <w:rFonts w:cs="Times New Roman"/>
      </w:rPr>
    </w:lvl>
    <w:lvl w:ilvl="7" w:tplc="04070019" w:tentative="1">
      <w:start w:val="1"/>
      <w:numFmt w:val="lowerLetter"/>
      <w:lvlText w:val="%8."/>
      <w:lvlJc w:val="left"/>
      <w:pPr>
        <w:ind w:left="6110" w:hanging="360"/>
      </w:pPr>
      <w:rPr>
        <w:rFonts w:cs="Times New Roman"/>
      </w:rPr>
    </w:lvl>
    <w:lvl w:ilvl="8" w:tplc="0407001B" w:tentative="1">
      <w:start w:val="1"/>
      <w:numFmt w:val="lowerRoman"/>
      <w:lvlText w:val="%9."/>
      <w:lvlJc w:val="right"/>
      <w:pPr>
        <w:ind w:left="6830" w:hanging="180"/>
      </w:pPr>
      <w:rPr>
        <w:rFonts w:cs="Times New Roman"/>
      </w:rPr>
    </w:lvl>
  </w:abstractNum>
  <w:abstractNum w:abstractNumId="3" w15:restartNumberingAfterBreak="0">
    <w:nsid w:val="6D005B1E"/>
    <w:multiLevelType w:val="hybridMultilevel"/>
    <w:tmpl w:val="A1CEE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0"/>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ersion_formatvorlage" w:val="20141022-1500"/>
  </w:docVars>
  <w:rsids>
    <w:rsidRoot w:val="003F29A6"/>
    <w:rsid w:val="00000385"/>
    <w:rsid w:val="000071B3"/>
    <w:rsid w:val="000225DB"/>
    <w:rsid w:val="0003387A"/>
    <w:rsid w:val="000366E8"/>
    <w:rsid w:val="00044C7D"/>
    <w:rsid w:val="00044FE9"/>
    <w:rsid w:val="000451EA"/>
    <w:rsid w:val="000478DA"/>
    <w:rsid w:val="00055BDF"/>
    <w:rsid w:val="00060816"/>
    <w:rsid w:val="00061774"/>
    <w:rsid w:val="0006270A"/>
    <w:rsid w:val="0008176B"/>
    <w:rsid w:val="00084E80"/>
    <w:rsid w:val="00094692"/>
    <w:rsid w:val="000A0E9B"/>
    <w:rsid w:val="000A2780"/>
    <w:rsid w:val="000A2CAB"/>
    <w:rsid w:val="000A37D7"/>
    <w:rsid w:val="000A3FBF"/>
    <w:rsid w:val="000A4C6F"/>
    <w:rsid w:val="000B5C6F"/>
    <w:rsid w:val="000C0F94"/>
    <w:rsid w:val="000C576E"/>
    <w:rsid w:val="000C6A42"/>
    <w:rsid w:val="000D2F73"/>
    <w:rsid w:val="000D4BE6"/>
    <w:rsid w:val="000E4063"/>
    <w:rsid w:val="001009FD"/>
    <w:rsid w:val="001028C0"/>
    <w:rsid w:val="00103D7B"/>
    <w:rsid w:val="0010520D"/>
    <w:rsid w:val="00120A39"/>
    <w:rsid w:val="00126CD8"/>
    <w:rsid w:val="00137833"/>
    <w:rsid w:val="001421E4"/>
    <w:rsid w:val="00142C0D"/>
    <w:rsid w:val="00154124"/>
    <w:rsid w:val="00154A3D"/>
    <w:rsid w:val="00157951"/>
    <w:rsid w:val="001620AF"/>
    <w:rsid w:val="00163E64"/>
    <w:rsid w:val="00174D88"/>
    <w:rsid w:val="00181BE3"/>
    <w:rsid w:val="0019105E"/>
    <w:rsid w:val="001914A9"/>
    <w:rsid w:val="001951B2"/>
    <w:rsid w:val="00196389"/>
    <w:rsid w:val="001A2876"/>
    <w:rsid w:val="001B4C41"/>
    <w:rsid w:val="001B5E36"/>
    <w:rsid w:val="001C2E7A"/>
    <w:rsid w:val="001C4F45"/>
    <w:rsid w:val="001C5CCA"/>
    <w:rsid w:val="001D0679"/>
    <w:rsid w:val="001D2EE7"/>
    <w:rsid w:val="001D35B7"/>
    <w:rsid w:val="001D4A32"/>
    <w:rsid w:val="001E13A9"/>
    <w:rsid w:val="001E3AA9"/>
    <w:rsid w:val="001E4EB5"/>
    <w:rsid w:val="002004D2"/>
    <w:rsid w:val="0021228D"/>
    <w:rsid w:val="00215EEB"/>
    <w:rsid w:val="00216BC7"/>
    <w:rsid w:val="00217C8A"/>
    <w:rsid w:val="0022606E"/>
    <w:rsid w:val="00231517"/>
    <w:rsid w:val="00233774"/>
    <w:rsid w:val="002367B8"/>
    <w:rsid w:val="00237D89"/>
    <w:rsid w:val="00243794"/>
    <w:rsid w:val="00244D3D"/>
    <w:rsid w:val="00245211"/>
    <w:rsid w:val="002456CE"/>
    <w:rsid w:val="002503E6"/>
    <w:rsid w:val="00250EEB"/>
    <w:rsid w:val="00251EDA"/>
    <w:rsid w:val="00252F0C"/>
    <w:rsid w:val="002532FB"/>
    <w:rsid w:val="00256098"/>
    <w:rsid w:val="002571AC"/>
    <w:rsid w:val="00257B81"/>
    <w:rsid w:val="002617F8"/>
    <w:rsid w:val="00263C93"/>
    <w:rsid w:val="00273E14"/>
    <w:rsid w:val="0028350B"/>
    <w:rsid w:val="002874D5"/>
    <w:rsid w:val="00290E99"/>
    <w:rsid w:val="00290ED8"/>
    <w:rsid w:val="002936E6"/>
    <w:rsid w:val="0029607C"/>
    <w:rsid w:val="002A5B9C"/>
    <w:rsid w:val="002A637B"/>
    <w:rsid w:val="002B0297"/>
    <w:rsid w:val="002B30F9"/>
    <w:rsid w:val="002B564E"/>
    <w:rsid w:val="002C0A4A"/>
    <w:rsid w:val="002C25C1"/>
    <w:rsid w:val="002C5229"/>
    <w:rsid w:val="002C5892"/>
    <w:rsid w:val="002D679C"/>
    <w:rsid w:val="002E10BD"/>
    <w:rsid w:val="002E21A5"/>
    <w:rsid w:val="002F0222"/>
    <w:rsid w:val="002F0723"/>
    <w:rsid w:val="003051FC"/>
    <w:rsid w:val="00312074"/>
    <w:rsid w:val="00316030"/>
    <w:rsid w:val="003215AB"/>
    <w:rsid w:val="0032365D"/>
    <w:rsid w:val="00331A6D"/>
    <w:rsid w:val="00336335"/>
    <w:rsid w:val="00346C5A"/>
    <w:rsid w:val="00347C51"/>
    <w:rsid w:val="00347F56"/>
    <w:rsid w:val="00353E68"/>
    <w:rsid w:val="003620FC"/>
    <w:rsid w:val="003662BF"/>
    <w:rsid w:val="003712C0"/>
    <w:rsid w:val="0038298B"/>
    <w:rsid w:val="00384900"/>
    <w:rsid w:val="003851D0"/>
    <w:rsid w:val="00392322"/>
    <w:rsid w:val="003B42D2"/>
    <w:rsid w:val="003B5314"/>
    <w:rsid w:val="003C0DAD"/>
    <w:rsid w:val="003C2D4B"/>
    <w:rsid w:val="003C3460"/>
    <w:rsid w:val="003C5B8B"/>
    <w:rsid w:val="003C6544"/>
    <w:rsid w:val="003D08F5"/>
    <w:rsid w:val="003D28BA"/>
    <w:rsid w:val="003D6C85"/>
    <w:rsid w:val="003E4C03"/>
    <w:rsid w:val="003E763B"/>
    <w:rsid w:val="003F29A6"/>
    <w:rsid w:val="003F2FA7"/>
    <w:rsid w:val="003F43B1"/>
    <w:rsid w:val="0041362E"/>
    <w:rsid w:val="00415BEF"/>
    <w:rsid w:val="00421E68"/>
    <w:rsid w:val="00423023"/>
    <w:rsid w:val="00426E25"/>
    <w:rsid w:val="00432193"/>
    <w:rsid w:val="00432816"/>
    <w:rsid w:val="00435679"/>
    <w:rsid w:val="0044184B"/>
    <w:rsid w:val="004551B5"/>
    <w:rsid w:val="004559AC"/>
    <w:rsid w:val="004633BC"/>
    <w:rsid w:val="00466FC3"/>
    <w:rsid w:val="004704E1"/>
    <w:rsid w:val="00481B3C"/>
    <w:rsid w:val="00490840"/>
    <w:rsid w:val="004A4FFE"/>
    <w:rsid w:val="004A5874"/>
    <w:rsid w:val="004A6B91"/>
    <w:rsid w:val="004A721E"/>
    <w:rsid w:val="004B1694"/>
    <w:rsid w:val="004D475D"/>
    <w:rsid w:val="004E4362"/>
    <w:rsid w:val="004E5632"/>
    <w:rsid w:val="004E5AA4"/>
    <w:rsid w:val="004E7124"/>
    <w:rsid w:val="004F132F"/>
    <w:rsid w:val="004F3DF3"/>
    <w:rsid w:val="004F52B7"/>
    <w:rsid w:val="004F7A81"/>
    <w:rsid w:val="0051065E"/>
    <w:rsid w:val="00512BE2"/>
    <w:rsid w:val="0052630B"/>
    <w:rsid w:val="00533D43"/>
    <w:rsid w:val="0053669D"/>
    <w:rsid w:val="005366A9"/>
    <w:rsid w:val="00540707"/>
    <w:rsid w:val="005473A2"/>
    <w:rsid w:val="00551C51"/>
    <w:rsid w:val="005538A4"/>
    <w:rsid w:val="00553D34"/>
    <w:rsid w:val="00564C16"/>
    <w:rsid w:val="00570941"/>
    <w:rsid w:val="00593AC8"/>
    <w:rsid w:val="005944C5"/>
    <w:rsid w:val="005952E2"/>
    <w:rsid w:val="005A157C"/>
    <w:rsid w:val="005A30FF"/>
    <w:rsid w:val="005B5CCE"/>
    <w:rsid w:val="005B6BCC"/>
    <w:rsid w:val="005C58C0"/>
    <w:rsid w:val="005D7B71"/>
    <w:rsid w:val="005E6D76"/>
    <w:rsid w:val="005E7DE2"/>
    <w:rsid w:val="00600F9A"/>
    <w:rsid w:val="00604165"/>
    <w:rsid w:val="00605953"/>
    <w:rsid w:val="00606528"/>
    <w:rsid w:val="006068C5"/>
    <w:rsid w:val="00616FC7"/>
    <w:rsid w:val="006253A1"/>
    <w:rsid w:val="00630800"/>
    <w:rsid w:val="00640F08"/>
    <w:rsid w:val="00643EC7"/>
    <w:rsid w:val="00644056"/>
    <w:rsid w:val="006468E3"/>
    <w:rsid w:val="006605F2"/>
    <w:rsid w:val="00671A64"/>
    <w:rsid w:val="006738B3"/>
    <w:rsid w:val="00674A86"/>
    <w:rsid w:val="0067728E"/>
    <w:rsid w:val="00677459"/>
    <w:rsid w:val="00682418"/>
    <w:rsid w:val="00682B20"/>
    <w:rsid w:val="00690F71"/>
    <w:rsid w:val="00693E27"/>
    <w:rsid w:val="006962CC"/>
    <w:rsid w:val="00697477"/>
    <w:rsid w:val="006B440E"/>
    <w:rsid w:val="006B5F1E"/>
    <w:rsid w:val="006B6862"/>
    <w:rsid w:val="006C03D6"/>
    <w:rsid w:val="006C2D5C"/>
    <w:rsid w:val="006C67F5"/>
    <w:rsid w:val="006C7A53"/>
    <w:rsid w:val="006C7ABD"/>
    <w:rsid w:val="006D04F1"/>
    <w:rsid w:val="006D408B"/>
    <w:rsid w:val="006E24BA"/>
    <w:rsid w:val="006E4B44"/>
    <w:rsid w:val="006E6FC7"/>
    <w:rsid w:val="006F23BF"/>
    <w:rsid w:val="007022D4"/>
    <w:rsid w:val="007070F2"/>
    <w:rsid w:val="007168A7"/>
    <w:rsid w:val="00717EAC"/>
    <w:rsid w:val="00720475"/>
    <w:rsid w:val="007300BB"/>
    <w:rsid w:val="0073049D"/>
    <w:rsid w:val="00746141"/>
    <w:rsid w:val="00746716"/>
    <w:rsid w:val="00746E43"/>
    <w:rsid w:val="007536E6"/>
    <w:rsid w:val="00754E55"/>
    <w:rsid w:val="00754EE3"/>
    <w:rsid w:val="0075782E"/>
    <w:rsid w:val="007600A8"/>
    <w:rsid w:val="00762E60"/>
    <w:rsid w:val="00764062"/>
    <w:rsid w:val="0077374A"/>
    <w:rsid w:val="0077799B"/>
    <w:rsid w:val="00782AD1"/>
    <w:rsid w:val="00783BCE"/>
    <w:rsid w:val="007854B3"/>
    <w:rsid w:val="00791A22"/>
    <w:rsid w:val="007934D3"/>
    <w:rsid w:val="007C50A6"/>
    <w:rsid w:val="007E7974"/>
    <w:rsid w:val="007F3BE3"/>
    <w:rsid w:val="007F4B82"/>
    <w:rsid w:val="008000D6"/>
    <w:rsid w:val="008029F2"/>
    <w:rsid w:val="00802EBC"/>
    <w:rsid w:val="008140F9"/>
    <w:rsid w:val="00827D95"/>
    <w:rsid w:val="00840138"/>
    <w:rsid w:val="00846837"/>
    <w:rsid w:val="00851130"/>
    <w:rsid w:val="00851691"/>
    <w:rsid w:val="00852AC6"/>
    <w:rsid w:val="00853990"/>
    <w:rsid w:val="00871A7D"/>
    <w:rsid w:val="00875D9C"/>
    <w:rsid w:val="0087721A"/>
    <w:rsid w:val="008A1A5F"/>
    <w:rsid w:val="008A427D"/>
    <w:rsid w:val="008A5FA9"/>
    <w:rsid w:val="008B08F7"/>
    <w:rsid w:val="008B09B4"/>
    <w:rsid w:val="008B7B36"/>
    <w:rsid w:val="008C1F4F"/>
    <w:rsid w:val="008C2A9B"/>
    <w:rsid w:val="008C2B47"/>
    <w:rsid w:val="008C7DF1"/>
    <w:rsid w:val="008D40D9"/>
    <w:rsid w:val="008D639F"/>
    <w:rsid w:val="008F14E5"/>
    <w:rsid w:val="008F2740"/>
    <w:rsid w:val="008F6870"/>
    <w:rsid w:val="00911D15"/>
    <w:rsid w:val="00913A63"/>
    <w:rsid w:val="00923DD2"/>
    <w:rsid w:val="009302ED"/>
    <w:rsid w:val="0093230A"/>
    <w:rsid w:val="00944417"/>
    <w:rsid w:val="009447AC"/>
    <w:rsid w:val="009467A7"/>
    <w:rsid w:val="0095168B"/>
    <w:rsid w:val="00955C52"/>
    <w:rsid w:val="00963BE7"/>
    <w:rsid w:val="009663DD"/>
    <w:rsid w:val="00966DC8"/>
    <w:rsid w:val="00967372"/>
    <w:rsid w:val="00977175"/>
    <w:rsid w:val="00981093"/>
    <w:rsid w:val="00983713"/>
    <w:rsid w:val="00986ED3"/>
    <w:rsid w:val="00990FFE"/>
    <w:rsid w:val="009A0CA3"/>
    <w:rsid w:val="009A19AB"/>
    <w:rsid w:val="009A2854"/>
    <w:rsid w:val="009A4B15"/>
    <w:rsid w:val="009B0484"/>
    <w:rsid w:val="009B1F69"/>
    <w:rsid w:val="009B2A9E"/>
    <w:rsid w:val="009B614D"/>
    <w:rsid w:val="009C1BEA"/>
    <w:rsid w:val="009C23CF"/>
    <w:rsid w:val="009C557F"/>
    <w:rsid w:val="009D3633"/>
    <w:rsid w:val="009D53CC"/>
    <w:rsid w:val="009D5739"/>
    <w:rsid w:val="009E0350"/>
    <w:rsid w:val="009E0868"/>
    <w:rsid w:val="009E1B16"/>
    <w:rsid w:val="009F09A1"/>
    <w:rsid w:val="009F0FA7"/>
    <w:rsid w:val="009F1EB0"/>
    <w:rsid w:val="009F4C1D"/>
    <w:rsid w:val="00A0683D"/>
    <w:rsid w:val="00A26AB5"/>
    <w:rsid w:val="00A536AA"/>
    <w:rsid w:val="00A66BD0"/>
    <w:rsid w:val="00A677DE"/>
    <w:rsid w:val="00A7102A"/>
    <w:rsid w:val="00A7161F"/>
    <w:rsid w:val="00A72579"/>
    <w:rsid w:val="00A93FC2"/>
    <w:rsid w:val="00A94289"/>
    <w:rsid w:val="00AA3793"/>
    <w:rsid w:val="00AA6B2B"/>
    <w:rsid w:val="00AB31E4"/>
    <w:rsid w:val="00AB42F7"/>
    <w:rsid w:val="00AC75F9"/>
    <w:rsid w:val="00AD1159"/>
    <w:rsid w:val="00AF2D50"/>
    <w:rsid w:val="00AF45FB"/>
    <w:rsid w:val="00B01712"/>
    <w:rsid w:val="00B11568"/>
    <w:rsid w:val="00B11FFF"/>
    <w:rsid w:val="00B169EA"/>
    <w:rsid w:val="00B20F19"/>
    <w:rsid w:val="00B21AFE"/>
    <w:rsid w:val="00B23510"/>
    <w:rsid w:val="00B24829"/>
    <w:rsid w:val="00B25C31"/>
    <w:rsid w:val="00B2617D"/>
    <w:rsid w:val="00B305AC"/>
    <w:rsid w:val="00B35454"/>
    <w:rsid w:val="00B43918"/>
    <w:rsid w:val="00B43E3B"/>
    <w:rsid w:val="00B44650"/>
    <w:rsid w:val="00B55A04"/>
    <w:rsid w:val="00B6791D"/>
    <w:rsid w:val="00B704CC"/>
    <w:rsid w:val="00B91A86"/>
    <w:rsid w:val="00B936EE"/>
    <w:rsid w:val="00B9731F"/>
    <w:rsid w:val="00B97335"/>
    <w:rsid w:val="00BA09C0"/>
    <w:rsid w:val="00BB07F7"/>
    <w:rsid w:val="00BC18FC"/>
    <w:rsid w:val="00BC3C53"/>
    <w:rsid w:val="00BC4BAC"/>
    <w:rsid w:val="00BD50F3"/>
    <w:rsid w:val="00BE52C4"/>
    <w:rsid w:val="00C01A76"/>
    <w:rsid w:val="00C062D2"/>
    <w:rsid w:val="00C10C23"/>
    <w:rsid w:val="00C15905"/>
    <w:rsid w:val="00C24C78"/>
    <w:rsid w:val="00C310ED"/>
    <w:rsid w:val="00C31F2A"/>
    <w:rsid w:val="00C4660A"/>
    <w:rsid w:val="00C54EBF"/>
    <w:rsid w:val="00C57E77"/>
    <w:rsid w:val="00C644E8"/>
    <w:rsid w:val="00C7089C"/>
    <w:rsid w:val="00C71E38"/>
    <w:rsid w:val="00C72BD5"/>
    <w:rsid w:val="00C75196"/>
    <w:rsid w:val="00C76081"/>
    <w:rsid w:val="00C7693F"/>
    <w:rsid w:val="00C77968"/>
    <w:rsid w:val="00C81216"/>
    <w:rsid w:val="00C82E7F"/>
    <w:rsid w:val="00C84FF4"/>
    <w:rsid w:val="00C94D2B"/>
    <w:rsid w:val="00CA195B"/>
    <w:rsid w:val="00CA499C"/>
    <w:rsid w:val="00CB0B10"/>
    <w:rsid w:val="00CC1B7E"/>
    <w:rsid w:val="00CC752A"/>
    <w:rsid w:val="00CD2E96"/>
    <w:rsid w:val="00CD3A30"/>
    <w:rsid w:val="00CF0EF6"/>
    <w:rsid w:val="00CF2F8B"/>
    <w:rsid w:val="00CF4F3E"/>
    <w:rsid w:val="00CF67C9"/>
    <w:rsid w:val="00D03F33"/>
    <w:rsid w:val="00D0417E"/>
    <w:rsid w:val="00D0611D"/>
    <w:rsid w:val="00D1127D"/>
    <w:rsid w:val="00D13FA2"/>
    <w:rsid w:val="00D154DB"/>
    <w:rsid w:val="00D1686D"/>
    <w:rsid w:val="00D243C4"/>
    <w:rsid w:val="00D27EB6"/>
    <w:rsid w:val="00D30B96"/>
    <w:rsid w:val="00D33F18"/>
    <w:rsid w:val="00D36914"/>
    <w:rsid w:val="00D3742D"/>
    <w:rsid w:val="00D42AE0"/>
    <w:rsid w:val="00D43B54"/>
    <w:rsid w:val="00D62B62"/>
    <w:rsid w:val="00D67E79"/>
    <w:rsid w:val="00D85799"/>
    <w:rsid w:val="00D9340A"/>
    <w:rsid w:val="00D962E5"/>
    <w:rsid w:val="00D975B9"/>
    <w:rsid w:val="00D97761"/>
    <w:rsid w:val="00DB72AE"/>
    <w:rsid w:val="00DC0D73"/>
    <w:rsid w:val="00DC3847"/>
    <w:rsid w:val="00DC390C"/>
    <w:rsid w:val="00DC4DB4"/>
    <w:rsid w:val="00DC51A2"/>
    <w:rsid w:val="00DC76BF"/>
    <w:rsid w:val="00DD0C93"/>
    <w:rsid w:val="00DE2BF4"/>
    <w:rsid w:val="00DF063A"/>
    <w:rsid w:val="00DF38F1"/>
    <w:rsid w:val="00DF7E04"/>
    <w:rsid w:val="00E0629B"/>
    <w:rsid w:val="00E06323"/>
    <w:rsid w:val="00E23712"/>
    <w:rsid w:val="00E24922"/>
    <w:rsid w:val="00E33BB2"/>
    <w:rsid w:val="00E34FD4"/>
    <w:rsid w:val="00E46839"/>
    <w:rsid w:val="00E46AE5"/>
    <w:rsid w:val="00E62679"/>
    <w:rsid w:val="00E63369"/>
    <w:rsid w:val="00E654FA"/>
    <w:rsid w:val="00E718A1"/>
    <w:rsid w:val="00E76EEF"/>
    <w:rsid w:val="00E844B9"/>
    <w:rsid w:val="00E84AEF"/>
    <w:rsid w:val="00E86908"/>
    <w:rsid w:val="00E876B1"/>
    <w:rsid w:val="00E90830"/>
    <w:rsid w:val="00EB057A"/>
    <w:rsid w:val="00EC0FA4"/>
    <w:rsid w:val="00EC1832"/>
    <w:rsid w:val="00EC79C9"/>
    <w:rsid w:val="00EE1DBB"/>
    <w:rsid w:val="00EE2CFB"/>
    <w:rsid w:val="00EE4427"/>
    <w:rsid w:val="00EF6397"/>
    <w:rsid w:val="00F10FE7"/>
    <w:rsid w:val="00F27588"/>
    <w:rsid w:val="00F31290"/>
    <w:rsid w:val="00F31DBB"/>
    <w:rsid w:val="00F405BB"/>
    <w:rsid w:val="00F46D56"/>
    <w:rsid w:val="00F55B2B"/>
    <w:rsid w:val="00F55DBE"/>
    <w:rsid w:val="00F5794D"/>
    <w:rsid w:val="00F63B99"/>
    <w:rsid w:val="00F66B14"/>
    <w:rsid w:val="00F678D7"/>
    <w:rsid w:val="00F72A4D"/>
    <w:rsid w:val="00F737F0"/>
    <w:rsid w:val="00F75094"/>
    <w:rsid w:val="00F83A80"/>
    <w:rsid w:val="00F83C5A"/>
    <w:rsid w:val="00F84F7C"/>
    <w:rsid w:val="00F85472"/>
    <w:rsid w:val="00F9004C"/>
    <w:rsid w:val="00F915EC"/>
    <w:rsid w:val="00F94111"/>
    <w:rsid w:val="00F94694"/>
    <w:rsid w:val="00F97C51"/>
    <w:rsid w:val="00F97F0A"/>
    <w:rsid w:val="00FA4955"/>
    <w:rsid w:val="00FA67F6"/>
    <w:rsid w:val="00FB11BD"/>
    <w:rsid w:val="00FB6E9A"/>
    <w:rsid w:val="00FC2CD8"/>
    <w:rsid w:val="00FC7E92"/>
    <w:rsid w:val="00FD0847"/>
    <w:rsid w:val="00FD1DE9"/>
    <w:rsid w:val="00FD5C51"/>
    <w:rsid w:val="00FE0B40"/>
    <w:rsid w:val="00FE18CE"/>
    <w:rsid w:val="00FF2070"/>
    <w:rsid w:val="00FF26F9"/>
    <w:rsid w:val="00FF47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0D3CFB-76DD-437A-B922-0E451A963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54EE3"/>
    <w:rPr>
      <w:rFonts w:asciiTheme="majorHAnsi" w:hAnsiTheme="majorHAnsi" w:cs="Times New Roman"/>
    </w:rPr>
  </w:style>
  <w:style w:type="paragraph" w:styleId="berschrift1">
    <w:name w:val="heading 1"/>
    <w:basedOn w:val="A4L"/>
    <w:next w:val="Standard"/>
    <w:link w:val="berschrift1Zchn"/>
    <w:uiPriority w:val="9"/>
    <w:qFormat/>
    <w:rsid w:val="00F46D56"/>
    <w:pPr>
      <w:keepNext/>
      <w:keepLines/>
      <w:spacing w:before="480" w:after="0"/>
      <w:jc w:val="left"/>
      <w:outlineLvl w:val="0"/>
    </w:pPr>
    <w:rPr>
      <w:rFonts w:asciiTheme="minorHAnsi" w:eastAsiaTheme="majorEastAsia" w:hAnsiTheme="minorHAnsi" w:cs="Times New Roman"/>
      <w:bCs w:val="0"/>
      <w:color w:val="000000" w:themeColor="text1"/>
      <w:sz w:val="56"/>
      <w:szCs w:val="28"/>
    </w:rPr>
  </w:style>
  <w:style w:type="paragraph" w:styleId="berschrift2">
    <w:name w:val="heading 2"/>
    <w:basedOn w:val="Standard"/>
    <w:next w:val="Standard"/>
    <w:link w:val="berschrift2Zchn"/>
    <w:uiPriority w:val="9"/>
    <w:unhideWhenUsed/>
    <w:qFormat/>
    <w:rsid w:val="00F46D56"/>
    <w:pPr>
      <w:keepNext/>
      <w:keepLines/>
      <w:spacing w:after="240"/>
      <w:outlineLvl w:val="1"/>
    </w:pPr>
    <w:rPr>
      <w:rFonts w:asciiTheme="minorHAnsi" w:eastAsiaTheme="majorEastAsia" w:hAnsiTheme="minorHAnsi"/>
      <w:bCs/>
      <w:sz w:val="32"/>
      <w:szCs w:val="48"/>
    </w:rPr>
  </w:style>
  <w:style w:type="paragraph" w:styleId="berschrift3">
    <w:name w:val="heading 3"/>
    <w:basedOn w:val="Standard"/>
    <w:next w:val="Standard"/>
    <w:link w:val="berschrift3Zchn"/>
    <w:uiPriority w:val="9"/>
    <w:unhideWhenUsed/>
    <w:qFormat/>
    <w:rsid w:val="00E63369"/>
    <w:pPr>
      <w:keepNext/>
      <w:keepLines/>
      <w:spacing w:before="40" w:after="0"/>
      <w:outlineLvl w:val="2"/>
    </w:pPr>
    <w:rPr>
      <w:rFonts w:eastAsiaTheme="majorEastAsia" w:cstheme="majorBidi"/>
      <w:color w:val="243F60" w:themeColor="accent1" w:themeShade="7F"/>
      <w:sz w:val="24"/>
      <w:szCs w:val="24"/>
    </w:rPr>
  </w:style>
  <w:style w:type="paragraph" w:styleId="berschrift4">
    <w:name w:val="heading 4"/>
    <w:basedOn w:val="Standard"/>
    <w:next w:val="Standard"/>
    <w:link w:val="berschrift4Zchn"/>
    <w:uiPriority w:val="9"/>
    <w:semiHidden/>
    <w:unhideWhenUsed/>
    <w:qFormat/>
    <w:rsid w:val="00F46D56"/>
    <w:pPr>
      <w:keepNext/>
      <w:keepLines/>
      <w:spacing w:before="40" w:after="0"/>
      <w:outlineLvl w:val="3"/>
    </w:pPr>
    <w:rPr>
      <w:rFonts w:eastAsiaTheme="majorEastAsia"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F46D56"/>
    <w:rPr>
      <w:rFonts w:eastAsiaTheme="majorEastAsia" w:cs="Times New Roman"/>
      <w:b/>
      <w:color w:val="000000" w:themeColor="text1"/>
      <w:position w:val="4"/>
      <w:sz w:val="56"/>
      <w:szCs w:val="28"/>
    </w:rPr>
  </w:style>
  <w:style w:type="character" w:customStyle="1" w:styleId="berschrift2Zchn">
    <w:name w:val="Überschrift 2 Zchn"/>
    <w:basedOn w:val="Absatz-Standardschriftart"/>
    <w:link w:val="berschrift2"/>
    <w:uiPriority w:val="9"/>
    <w:locked/>
    <w:rsid w:val="00F46D56"/>
    <w:rPr>
      <w:rFonts w:eastAsiaTheme="majorEastAsia" w:cs="Times New Roman"/>
      <w:bCs/>
      <w:sz w:val="32"/>
      <w:szCs w:val="48"/>
    </w:rPr>
  </w:style>
  <w:style w:type="paragraph" w:customStyle="1" w:styleId="A5LT">
    <w:name w:val="A5LT"/>
    <w:basedOn w:val="Standard"/>
    <w:next w:val="H5"/>
    <w:uiPriority w:val="99"/>
    <w:rsid w:val="003F29A6"/>
    <w:pPr>
      <w:pBdr>
        <w:top w:val="single" w:sz="4" w:space="31" w:color="000000"/>
      </w:pBd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H5">
    <w:name w:val="H5"/>
    <w:basedOn w:val="Standard"/>
    <w:next w:val="V"/>
    <w:uiPriority w:val="99"/>
    <w:rsid w:val="003F29A6"/>
    <w:pPr>
      <w:autoSpaceDE w:val="0"/>
      <w:autoSpaceDN w:val="0"/>
      <w:adjustRightInd w:val="0"/>
      <w:spacing w:after="283" w:line="340" w:lineRule="atLeast"/>
      <w:jc w:val="center"/>
      <w:textAlignment w:val="center"/>
    </w:pPr>
    <w:rPr>
      <w:rFonts w:ascii="VdK Geometr706 Md BT Medium" w:hAnsi="VdK Geometr706 Md BT Medium" w:cs="VdK Geometr706 Md BT Medium"/>
      <w:color w:val="000000"/>
      <w:sz w:val="26"/>
      <w:szCs w:val="26"/>
    </w:rPr>
  </w:style>
  <w:style w:type="paragraph" w:customStyle="1" w:styleId="V">
    <w:name w:val="V"/>
    <w:basedOn w:val="Standard"/>
    <w:next w:val="G"/>
    <w:uiPriority w:val="99"/>
    <w:rsid w:val="003F29A6"/>
    <w:pPr>
      <w:autoSpaceDE w:val="0"/>
      <w:autoSpaceDN w:val="0"/>
      <w:adjustRightInd w:val="0"/>
      <w:spacing w:after="241" w:line="240" w:lineRule="atLeast"/>
      <w:jc w:val="both"/>
      <w:textAlignment w:val="center"/>
    </w:pPr>
    <w:rPr>
      <w:rFonts w:ascii="VdKGilroySemiBold" w:hAnsi="VdKGilroySemiBold" w:cs="VdKGilroySemiBold"/>
      <w:b/>
      <w:bCs/>
      <w:color w:val="000000"/>
      <w:sz w:val="19"/>
      <w:szCs w:val="19"/>
    </w:rPr>
  </w:style>
  <w:style w:type="paragraph" w:customStyle="1" w:styleId="G">
    <w:name w:val="G"/>
    <w:basedOn w:val="Standard"/>
    <w:uiPriority w:val="99"/>
    <w:rsid w:val="003F29A6"/>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customStyle="1" w:styleId="A3L">
    <w:name w:val="A3L"/>
    <w:basedOn w:val="Standard"/>
    <w:next w:val="H3"/>
    <w:uiPriority w:val="99"/>
    <w:rsid w:val="003F29A6"/>
    <w:pPr>
      <w:pBdr>
        <w:top w:val="single" w:sz="4" w:space="31" w:color="000000"/>
      </w:pBd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paragraph" w:customStyle="1" w:styleId="H3">
    <w:name w:val="H3"/>
    <w:basedOn w:val="Standard"/>
    <w:next w:val="V"/>
    <w:uiPriority w:val="99"/>
    <w:rsid w:val="003F29A6"/>
    <w:pPr>
      <w:autoSpaceDE w:val="0"/>
      <w:autoSpaceDN w:val="0"/>
      <w:adjustRightInd w:val="0"/>
      <w:spacing w:after="235"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GA">
    <w:name w:val="GA"/>
    <w:basedOn w:val="G"/>
    <w:uiPriority w:val="99"/>
    <w:rsid w:val="003F29A6"/>
    <w:pPr>
      <w:ind w:left="136" w:hanging="136"/>
    </w:pPr>
  </w:style>
  <w:style w:type="paragraph" w:customStyle="1" w:styleId="A4">
    <w:name w:val="A4"/>
    <w:basedOn w:val="Standard"/>
    <w:next w:val="H4"/>
    <w:uiPriority w:val="99"/>
    <w:rsid w:val="003F29A6"/>
    <w:pPr>
      <w:autoSpaceDE w:val="0"/>
      <w:autoSpaceDN w:val="0"/>
      <w:adjustRightInd w:val="0"/>
      <w:spacing w:after="57" w:line="540" w:lineRule="atLeast"/>
      <w:jc w:val="center"/>
      <w:textAlignment w:val="center"/>
    </w:pPr>
    <w:rPr>
      <w:rFonts w:ascii="VdK Trade Gothic LT Std Bold" w:hAnsi="VdK Trade Gothic LT Std Bold" w:cs="VdK Trade Gothic LT Std Bold"/>
      <w:b/>
      <w:bCs/>
      <w:color w:val="000000"/>
      <w:position w:val="4"/>
      <w:sz w:val="58"/>
      <w:szCs w:val="58"/>
    </w:rPr>
  </w:style>
  <w:style w:type="paragraph" w:customStyle="1" w:styleId="H4">
    <w:name w:val="H4"/>
    <w:basedOn w:val="Standard"/>
    <w:next w:val="V"/>
    <w:uiPriority w:val="99"/>
    <w:rsid w:val="003F29A6"/>
    <w:pPr>
      <w:autoSpaceDE w:val="0"/>
      <w:autoSpaceDN w:val="0"/>
      <w:adjustRightInd w:val="0"/>
      <w:spacing w:after="227"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A2L">
    <w:name w:val="A2L"/>
    <w:basedOn w:val="Standard"/>
    <w:next w:val="H2"/>
    <w:uiPriority w:val="99"/>
    <w:rsid w:val="003F29A6"/>
    <w:pPr>
      <w:pBdr>
        <w:top w:val="single" w:sz="4" w:space="28" w:color="000000"/>
      </w:pBd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H2">
    <w:name w:val="H2"/>
    <w:basedOn w:val="Standard"/>
    <w:next w:val="V"/>
    <w:uiPriority w:val="99"/>
    <w:rsid w:val="003F29A6"/>
    <w:pPr>
      <w:autoSpaceDE w:val="0"/>
      <w:autoSpaceDN w:val="0"/>
      <w:adjustRightInd w:val="0"/>
      <w:spacing w:after="238" w:line="240" w:lineRule="atLeast"/>
      <w:jc w:val="center"/>
      <w:textAlignment w:val="center"/>
    </w:pPr>
    <w:rPr>
      <w:rFonts w:ascii="VdK Geometr706 Md BT Medium" w:hAnsi="VdK Geometr706 Md BT Medium" w:cs="VdK Geometr706 Md BT Medium"/>
      <w:color w:val="000000"/>
      <w:sz w:val="26"/>
      <w:szCs w:val="26"/>
    </w:rPr>
  </w:style>
  <w:style w:type="paragraph" w:customStyle="1" w:styleId="Z1">
    <w:name w:val="Z1"/>
    <w:basedOn w:val="Standard"/>
    <w:uiPriority w:val="99"/>
    <w:rsid w:val="003F29A6"/>
    <w:pPr>
      <w:autoSpaceDE w:val="0"/>
      <w:autoSpaceDN w:val="0"/>
      <w:adjustRightInd w:val="0"/>
      <w:spacing w:before="240" w:line="280" w:lineRule="atLeast"/>
      <w:jc w:val="center"/>
      <w:textAlignment w:val="center"/>
    </w:pPr>
    <w:rPr>
      <w:rFonts w:ascii="VdK Geometr415 Blk BT Black" w:hAnsi="VdK Geometr415 Blk BT Black" w:cs="VdK Geometr415 Blk BT Black"/>
      <w:color w:val="000000"/>
      <w:sz w:val="26"/>
      <w:szCs w:val="26"/>
    </w:rPr>
  </w:style>
  <w:style w:type="paragraph" w:customStyle="1" w:styleId="A1K">
    <w:name w:val="A1K"/>
    <w:basedOn w:val="Standard"/>
    <w:next w:val="V"/>
    <w:uiPriority w:val="99"/>
    <w:rsid w:val="003F29A6"/>
    <w:pPr>
      <w:autoSpaceDE w:val="0"/>
      <w:autoSpaceDN w:val="0"/>
      <w:adjustRightInd w:val="0"/>
      <w:spacing w:after="57" w:line="540" w:lineRule="atLeast"/>
      <w:ind w:left="113" w:right="113"/>
      <w:jc w:val="center"/>
      <w:textAlignment w:val="center"/>
    </w:pPr>
    <w:rPr>
      <w:rFonts w:ascii="VdK Trade Gothic LT Std Bold" w:hAnsi="VdK Trade Gothic LT Std Bold" w:cs="VdK Trade Gothic LT Std Bold"/>
      <w:b/>
      <w:bCs/>
      <w:color w:val="000000"/>
      <w:sz w:val="50"/>
      <w:szCs w:val="50"/>
    </w:rPr>
  </w:style>
  <w:style w:type="paragraph" w:customStyle="1" w:styleId="K">
    <w:name w:val="K"/>
    <w:basedOn w:val="G"/>
    <w:uiPriority w:val="99"/>
    <w:rsid w:val="003F29A6"/>
    <w:pPr>
      <w:spacing w:line="230" w:lineRule="atLeast"/>
      <w:ind w:firstLine="0"/>
    </w:pPr>
    <w:rPr>
      <w:rFonts w:ascii="VdK Geometr706 Md BT Medium" w:hAnsi="VdK Geometr706 Md BT Medium" w:cs="VdK Geometr706 Md BT Medium"/>
      <w:sz w:val="18"/>
      <w:szCs w:val="18"/>
    </w:rPr>
  </w:style>
  <w:style w:type="paragraph" w:customStyle="1" w:styleId="A5">
    <w:name w:val="A5"/>
    <w:basedOn w:val="Standard"/>
    <w:next w:val="H5"/>
    <w:uiPriority w:val="99"/>
    <w:rsid w:val="003F29A6"/>
    <w:pP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A4L">
    <w:name w:val="A4L"/>
    <w:basedOn w:val="A4"/>
    <w:next w:val="H4"/>
    <w:uiPriority w:val="99"/>
    <w:rsid w:val="003F29A6"/>
    <w:pPr>
      <w:pBdr>
        <w:top w:val="single" w:sz="4" w:space="31" w:color="000000"/>
      </w:pBdr>
    </w:pPr>
  </w:style>
  <w:style w:type="paragraph" w:customStyle="1" w:styleId="A2">
    <w:name w:val="A2"/>
    <w:basedOn w:val="Standard"/>
    <w:next w:val="H2"/>
    <w:uiPriority w:val="99"/>
    <w:rsid w:val="003F29A6"/>
    <w:pP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A3">
    <w:name w:val="A3"/>
    <w:basedOn w:val="Standard"/>
    <w:next w:val="H3"/>
    <w:uiPriority w:val="99"/>
    <w:rsid w:val="003F29A6"/>
    <w:pP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character" w:customStyle="1" w:styleId="VdK-ZeitungimText">
    <w:name w:val="VdK-Zeitung im Text"/>
    <w:uiPriority w:val="99"/>
    <w:rsid w:val="003F29A6"/>
    <w:rPr>
      <w:caps/>
      <w:sz w:val="19"/>
    </w:rPr>
  </w:style>
  <w:style w:type="character" w:customStyle="1" w:styleId="ConcordeBold">
    <w:name w:val="Concorde Bold"/>
    <w:uiPriority w:val="99"/>
    <w:rsid w:val="003F29A6"/>
    <w:rPr>
      <w:b/>
    </w:rPr>
  </w:style>
  <w:style w:type="paragraph" w:customStyle="1" w:styleId="KR">
    <w:name w:val="KR"/>
    <w:basedOn w:val="Standard"/>
    <w:uiPriority w:val="99"/>
    <w:rsid w:val="003F29A6"/>
    <w:pPr>
      <w:pBdr>
        <w:bottom w:val="single" w:sz="4" w:space="22" w:color="000000"/>
      </w:pBdr>
      <w:autoSpaceDE w:val="0"/>
      <w:autoSpaceDN w:val="0"/>
      <w:adjustRightInd w:val="0"/>
      <w:spacing w:after="680" w:line="300" w:lineRule="atLeast"/>
      <w:ind w:left="113" w:right="113"/>
      <w:jc w:val="center"/>
      <w:textAlignment w:val="center"/>
    </w:pPr>
    <w:rPr>
      <w:rFonts w:ascii="VdK Geometr706 Md BT Black" w:hAnsi="VdK Geometr706 Md BT Black" w:cs="VdK Geometr706 Md BT Black"/>
      <w:caps/>
      <w:color w:val="005CA9"/>
      <w:position w:val="-23"/>
      <w:sz w:val="26"/>
      <w:szCs w:val="26"/>
    </w:rPr>
  </w:style>
  <w:style w:type="paragraph" w:customStyle="1" w:styleId="KEA">
    <w:name w:val="KEA"/>
    <w:basedOn w:val="Standard"/>
    <w:uiPriority w:val="99"/>
    <w:rsid w:val="003F29A6"/>
    <w:pPr>
      <w:tabs>
        <w:tab w:val="left" w:pos="0"/>
        <w:tab w:val="left" w:pos="113"/>
      </w:tabs>
      <w:autoSpaceDE w:val="0"/>
      <w:autoSpaceDN w:val="0"/>
      <w:adjustRightInd w:val="0"/>
      <w:spacing w:after="0" w:line="230" w:lineRule="atLeast"/>
      <w:ind w:left="249" w:right="113" w:hanging="136"/>
      <w:jc w:val="both"/>
      <w:textAlignment w:val="center"/>
    </w:pPr>
    <w:rPr>
      <w:rFonts w:ascii="VdK Geometr706 Md BT Medium" w:hAnsi="VdK Geometr706 Md BT Medium" w:cs="VdK Geometr706 Md BT Medium"/>
      <w:color w:val="000000"/>
      <w:sz w:val="18"/>
      <w:szCs w:val="18"/>
    </w:rPr>
  </w:style>
  <w:style w:type="character" w:styleId="Hyperlink">
    <w:name w:val="Hyperlink"/>
    <w:basedOn w:val="Absatz-Standardschriftart"/>
    <w:uiPriority w:val="99"/>
    <w:unhideWhenUsed/>
    <w:rsid w:val="003F29A6"/>
    <w:rPr>
      <w:rFonts w:cs="Times New Roman"/>
      <w:color w:val="0000FF" w:themeColor="hyperlink"/>
      <w:u w:val="single"/>
    </w:rPr>
  </w:style>
  <w:style w:type="paragraph" w:styleId="Titel">
    <w:name w:val="Title"/>
    <w:basedOn w:val="Standard"/>
    <w:link w:val="TitelZchn"/>
    <w:uiPriority w:val="99"/>
    <w:qFormat/>
    <w:rsid w:val="001B4C41"/>
    <w:pPr>
      <w:pBdr>
        <w:bottom w:val="single" w:sz="8" w:space="4" w:color="4F81BD"/>
      </w:pBdr>
      <w:autoSpaceDE w:val="0"/>
      <w:autoSpaceDN w:val="0"/>
      <w:adjustRightInd w:val="0"/>
      <w:spacing w:after="300"/>
      <w:contextualSpacing/>
    </w:pPr>
    <w:rPr>
      <w:rFonts w:ascii="Arial" w:hAnsi="Liberation Serif" w:cs="Arial"/>
      <w:color w:val="17365D"/>
      <w:spacing w:val="5"/>
      <w:kern w:val="2"/>
      <w:sz w:val="48"/>
      <w:szCs w:val="48"/>
    </w:rPr>
  </w:style>
  <w:style w:type="character" w:customStyle="1" w:styleId="TitelZchn">
    <w:name w:val="Titel Zchn"/>
    <w:basedOn w:val="Absatz-Standardschriftart"/>
    <w:link w:val="Titel"/>
    <w:uiPriority w:val="99"/>
    <w:locked/>
    <w:rsid w:val="001B4C41"/>
    <w:rPr>
      <w:rFonts w:ascii="Arial" w:eastAsia="Times New Roman" w:hAnsi="Liberation Serif" w:cs="Arial"/>
      <w:color w:val="17365D"/>
      <w:spacing w:val="5"/>
      <w:kern w:val="2"/>
      <w:sz w:val="48"/>
      <w:szCs w:val="48"/>
    </w:rPr>
  </w:style>
  <w:style w:type="paragraph" w:customStyle="1" w:styleId="InhaltvdK">
    <w:name w:val="Inhalt_vdK"/>
    <w:basedOn w:val="Inhaltsverzeichnis1"/>
    <w:link w:val="InhaltvdKZchn"/>
    <w:qFormat/>
    <w:rsid w:val="008F6870"/>
    <w:pPr>
      <w:tabs>
        <w:tab w:val="right" w:pos="9062"/>
      </w:tabs>
    </w:pPr>
  </w:style>
  <w:style w:type="paragraph" w:customStyle="1" w:styleId="dcberschrift1">
    <w:name w:val="Üdcberschrift 1"/>
    <w:basedOn w:val="Standard"/>
    <w:uiPriority w:val="99"/>
    <w:rsid w:val="001B4C41"/>
    <w:pPr>
      <w:keepNext/>
      <w:keepLines/>
      <w:autoSpaceDE w:val="0"/>
      <w:autoSpaceDN w:val="0"/>
      <w:adjustRightInd w:val="0"/>
      <w:spacing w:before="480"/>
    </w:pPr>
    <w:rPr>
      <w:rFonts w:ascii="Arial" w:hAnsi="Liberation Serif" w:cs="Arial"/>
      <w:b/>
      <w:bCs/>
      <w:color w:val="000000"/>
      <w:sz w:val="32"/>
      <w:szCs w:val="32"/>
    </w:rPr>
  </w:style>
  <w:style w:type="paragraph" w:customStyle="1" w:styleId="Inhaltsverzeichnis1">
    <w:name w:val="Inhaltsverzeichnis 1"/>
    <w:basedOn w:val="Standard"/>
    <w:link w:val="Inhaltsverzeichnis1Zchn"/>
    <w:autoRedefine/>
    <w:uiPriority w:val="99"/>
    <w:rsid w:val="001B4C41"/>
    <w:pPr>
      <w:autoSpaceDE w:val="0"/>
      <w:autoSpaceDN w:val="0"/>
      <w:adjustRightInd w:val="0"/>
      <w:spacing w:after="100"/>
    </w:pPr>
    <w:rPr>
      <w:rFonts w:ascii="Arial" w:hAnsi="Liberation Serif" w:cs="Arial"/>
    </w:rPr>
  </w:style>
  <w:style w:type="character" w:customStyle="1" w:styleId="Inhaltsverzeichnis1Zchn">
    <w:name w:val="Inhaltsverzeichnis 1 Zchn"/>
    <w:basedOn w:val="Absatz-Standardschriftart"/>
    <w:link w:val="Inhaltsverzeichnis1"/>
    <w:uiPriority w:val="99"/>
    <w:locked/>
    <w:rsid w:val="008F6870"/>
    <w:rPr>
      <w:rFonts w:ascii="Arial" w:eastAsia="Times New Roman" w:hAnsi="Liberation Serif" w:cs="Arial"/>
    </w:rPr>
  </w:style>
  <w:style w:type="character" w:customStyle="1" w:styleId="InhaltvdKZchn">
    <w:name w:val="Inhalt_vdK Zchn"/>
    <w:basedOn w:val="Inhaltsverzeichnis1Zchn"/>
    <w:link w:val="InhaltvdK"/>
    <w:locked/>
    <w:rsid w:val="008F6870"/>
    <w:rPr>
      <w:rFonts w:ascii="Arial" w:eastAsia="Times New Roman" w:hAnsi="Liberation Serif" w:cs="Arial"/>
    </w:rPr>
  </w:style>
  <w:style w:type="paragraph" w:customStyle="1" w:styleId="InterviewFrage">
    <w:name w:val="Interview Frage"/>
    <w:basedOn w:val="Standard"/>
    <w:next w:val="InterviewAntwort"/>
    <w:uiPriority w:val="99"/>
    <w:rsid w:val="003712C0"/>
    <w:pPr>
      <w:autoSpaceDE w:val="0"/>
      <w:autoSpaceDN w:val="0"/>
      <w:adjustRightInd w:val="0"/>
      <w:spacing w:after="0" w:line="240" w:lineRule="atLeast"/>
      <w:jc w:val="both"/>
      <w:textAlignment w:val="center"/>
    </w:pPr>
    <w:rPr>
      <w:rFonts w:ascii="GilroyBold" w:hAnsi="GilroyBold" w:cs="GilroyBold"/>
      <w:b/>
      <w:bCs/>
      <w:color w:val="000000"/>
      <w:sz w:val="19"/>
      <w:szCs w:val="19"/>
    </w:rPr>
  </w:style>
  <w:style w:type="paragraph" w:customStyle="1" w:styleId="InterviewAntwort">
    <w:name w:val="Interview Antwort"/>
    <w:basedOn w:val="Standard"/>
    <w:next w:val="InterviewFrage"/>
    <w:uiPriority w:val="99"/>
    <w:rsid w:val="003712C0"/>
    <w:pPr>
      <w:autoSpaceDE w:val="0"/>
      <w:autoSpaceDN w:val="0"/>
      <w:adjustRightInd w:val="0"/>
      <w:spacing w:after="0" w:line="240" w:lineRule="atLeast"/>
      <w:jc w:val="both"/>
      <w:textAlignment w:val="center"/>
    </w:pPr>
    <w:rPr>
      <w:rFonts w:ascii="VdK Concorde" w:hAnsi="VdK Concorde" w:cs="VdK Concorde"/>
      <w:color w:val="000000"/>
      <w:sz w:val="19"/>
      <w:szCs w:val="19"/>
    </w:rPr>
  </w:style>
  <w:style w:type="paragraph" w:customStyle="1" w:styleId="KE">
    <w:name w:val="KE"/>
    <w:basedOn w:val="K"/>
    <w:uiPriority w:val="99"/>
    <w:rsid w:val="00762E60"/>
    <w:pPr>
      <w:ind w:left="113" w:right="113"/>
    </w:pPr>
  </w:style>
  <w:style w:type="character" w:customStyle="1" w:styleId="ConcordeItalic">
    <w:name w:val="Concorde Italic"/>
    <w:uiPriority w:val="99"/>
    <w:rsid w:val="0087721A"/>
    <w:rPr>
      <w:i/>
    </w:rPr>
  </w:style>
  <w:style w:type="character" w:customStyle="1" w:styleId="InternetadresseinKsten">
    <w:name w:val="Internetadresse in Kästen"/>
    <w:aliases w:val="Kursif"/>
    <w:uiPriority w:val="99"/>
    <w:rsid w:val="00967372"/>
    <w:rPr>
      <w:i/>
      <w:sz w:val="18"/>
    </w:rPr>
  </w:style>
  <w:style w:type="paragraph" w:styleId="Inhaltsverzeichnisberschrift">
    <w:name w:val="TOC Heading"/>
    <w:basedOn w:val="berschrift1"/>
    <w:next w:val="Standard"/>
    <w:uiPriority w:val="39"/>
    <w:unhideWhenUsed/>
    <w:qFormat/>
    <w:rsid w:val="0008176B"/>
    <w:pPr>
      <w:pBdr>
        <w:top w:val="none" w:sz="0" w:space="0" w:color="auto"/>
      </w:pBdr>
      <w:autoSpaceDE/>
      <w:autoSpaceDN/>
      <w:adjustRightInd/>
      <w:spacing w:line="276" w:lineRule="auto"/>
      <w:textAlignment w:val="auto"/>
      <w:outlineLvl w:val="9"/>
    </w:pPr>
    <w:rPr>
      <w:b w:val="0"/>
      <w:bCs/>
      <w:position w:val="0"/>
      <w:lang w:eastAsia="de-DE"/>
    </w:rPr>
  </w:style>
  <w:style w:type="paragraph" w:styleId="Verzeichnis1">
    <w:name w:val="toc 1"/>
    <w:basedOn w:val="Standard"/>
    <w:next w:val="Standard"/>
    <w:autoRedefine/>
    <w:uiPriority w:val="39"/>
    <w:unhideWhenUsed/>
    <w:rsid w:val="0008176B"/>
    <w:pPr>
      <w:spacing w:after="100"/>
    </w:pPr>
  </w:style>
  <w:style w:type="paragraph" w:styleId="Sprechblasentext">
    <w:name w:val="Balloon Text"/>
    <w:basedOn w:val="Standard"/>
    <w:link w:val="SprechblasentextZchn"/>
    <w:uiPriority w:val="99"/>
    <w:semiHidden/>
    <w:unhideWhenUsed/>
    <w:rsid w:val="0008176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8176B"/>
    <w:rPr>
      <w:rFonts w:ascii="Tahoma" w:hAnsi="Tahoma" w:cs="Tahoma"/>
      <w:sz w:val="16"/>
      <w:szCs w:val="16"/>
    </w:rPr>
  </w:style>
  <w:style w:type="paragraph" w:customStyle="1" w:styleId="A5L">
    <w:name w:val="A5L"/>
    <w:basedOn w:val="A5"/>
    <w:next w:val="H5"/>
    <w:uiPriority w:val="99"/>
    <w:rsid w:val="004704E1"/>
    <w:pPr>
      <w:pBdr>
        <w:top w:val="single" w:sz="4" w:space="31" w:color="000000"/>
      </w:pBdr>
    </w:pPr>
  </w:style>
  <w:style w:type="paragraph" w:customStyle="1" w:styleId="RB">
    <w:name w:val="RB"/>
    <w:basedOn w:val="Standard"/>
    <w:uiPriority w:val="99"/>
    <w:rsid w:val="00746716"/>
    <w:pPr>
      <w:pBdr>
        <w:top w:val="single" w:sz="4" w:space="9" w:color="000000"/>
        <w:bottom w:val="single" w:sz="4" w:space="22" w:color="000000"/>
      </w:pBdr>
      <w:autoSpaceDE w:val="0"/>
      <w:autoSpaceDN w:val="0"/>
      <w:adjustRightInd w:val="0"/>
      <w:spacing w:after="680" w:line="300" w:lineRule="atLeast"/>
      <w:ind w:left="227" w:right="227"/>
      <w:jc w:val="center"/>
      <w:textAlignment w:val="center"/>
    </w:pPr>
    <w:rPr>
      <w:rFonts w:ascii="VdK Geometr706 Md BT Black" w:hAnsi="VdK Geometr706 Md BT Black" w:cs="VdK Geometr706 Md BT Black"/>
      <w:caps/>
      <w:color w:val="005CA9"/>
      <w:position w:val="-23"/>
      <w:sz w:val="26"/>
      <w:szCs w:val="26"/>
    </w:rPr>
  </w:style>
  <w:style w:type="character" w:customStyle="1" w:styleId="FotonachweisimRaster">
    <w:name w:val="Fotonachweis im Raster"/>
    <w:uiPriority w:val="99"/>
    <w:rsid w:val="00FD0847"/>
    <w:rPr>
      <w:rFonts w:ascii="VdK Geometr706 Md BT Medium" w:hAnsi="VdK Geometr706 Md BT Medium"/>
      <w:color w:val="000000"/>
      <w:spacing w:val="0"/>
      <w:w w:val="100"/>
      <w:position w:val="0"/>
      <w:sz w:val="13"/>
      <w:u w:val="none"/>
      <w:vertAlign w:val="baseline"/>
    </w:rPr>
  </w:style>
  <w:style w:type="paragraph" w:customStyle="1" w:styleId="A1">
    <w:name w:val="A1"/>
    <w:basedOn w:val="Standard"/>
    <w:next w:val="V"/>
    <w:uiPriority w:val="99"/>
    <w:rsid w:val="0032365D"/>
    <w:pPr>
      <w:autoSpaceDE w:val="0"/>
      <w:autoSpaceDN w:val="0"/>
      <w:adjustRightInd w:val="0"/>
      <w:spacing w:after="232" w:line="380" w:lineRule="atLeast"/>
      <w:jc w:val="center"/>
      <w:textAlignment w:val="center"/>
    </w:pPr>
    <w:rPr>
      <w:rFonts w:ascii="VdK Trade Gothic LT Std Bold" w:hAnsi="VdK Trade Gothic LT Std Bold" w:cs="VdK Trade Gothic LT Std Bold"/>
      <w:b/>
      <w:bCs/>
      <w:color w:val="000000"/>
      <w:position w:val="2"/>
      <w:sz w:val="32"/>
      <w:szCs w:val="32"/>
    </w:rPr>
  </w:style>
  <w:style w:type="character" w:customStyle="1" w:styleId="KBold">
    <w:name w:val="K Bold"/>
    <w:uiPriority w:val="99"/>
    <w:rsid w:val="00963BE7"/>
    <w:rPr>
      <w:rFonts w:ascii="VdK Geometr706 Md BT Black" w:hAnsi="VdK Geometr706 Md BT Black"/>
      <w:spacing w:val="0"/>
      <w:sz w:val="18"/>
      <w:vertAlign w:val="baseline"/>
    </w:rPr>
  </w:style>
  <w:style w:type="paragraph" w:styleId="KeinLeerraum">
    <w:name w:val="No Spacing"/>
    <w:uiPriority w:val="1"/>
    <w:qFormat/>
    <w:rsid w:val="00F5794D"/>
    <w:pPr>
      <w:spacing w:after="0" w:line="240" w:lineRule="auto"/>
    </w:pPr>
    <w:rPr>
      <w:rFonts w:cs="Times New Roman"/>
    </w:rPr>
  </w:style>
  <w:style w:type="paragraph" w:customStyle="1" w:styleId="A1L">
    <w:name w:val="A1L"/>
    <w:basedOn w:val="A1"/>
    <w:next w:val="V"/>
    <w:uiPriority w:val="99"/>
    <w:rsid w:val="006605F2"/>
    <w:pPr>
      <w:pBdr>
        <w:top w:val="single" w:sz="4" w:space="24" w:color="000000"/>
      </w:pBdr>
    </w:pPr>
  </w:style>
  <w:style w:type="paragraph" w:customStyle="1" w:styleId="KeinAbsatzformat">
    <w:name w:val="[Kein Absatzformat]"/>
    <w:rsid w:val="00FE18CE"/>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RBR">
    <w:name w:val="RBR"/>
    <w:basedOn w:val="KeinAbsatzformat"/>
    <w:uiPriority w:val="99"/>
    <w:rsid w:val="00353E68"/>
    <w:pPr>
      <w:pBdr>
        <w:bottom w:val="single" w:sz="96" w:space="0" w:color="005CA9"/>
      </w:pBdr>
      <w:spacing w:after="680" w:line="300" w:lineRule="atLeast"/>
      <w:ind w:left="227" w:right="227"/>
      <w:jc w:val="center"/>
    </w:pPr>
    <w:rPr>
      <w:rFonts w:ascii="VdK Geometr706 Md BT Black" w:hAnsi="VdK Geometr706 Md BT Black" w:cs="VdK Geometr706 Md BT Black"/>
      <w:caps/>
      <w:color w:val="005CA9"/>
      <w:position w:val="-24"/>
      <w:sz w:val="26"/>
      <w:szCs w:val="26"/>
    </w:rPr>
  </w:style>
  <w:style w:type="paragraph" w:customStyle="1" w:styleId="H5T">
    <w:name w:val="H5T"/>
    <w:basedOn w:val="H5"/>
    <w:uiPriority w:val="99"/>
    <w:rsid w:val="002456CE"/>
    <w:pPr>
      <w:spacing w:line="300" w:lineRule="atLeast"/>
    </w:pPr>
  </w:style>
  <w:style w:type="paragraph" w:styleId="Listenabsatz">
    <w:name w:val="List Paragraph"/>
    <w:basedOn w:val="Standard"/>
    <w:uiPriority w:val="34"/>
    <w:qFormat/>
    <w:rsid w:val="004559AC"/>
    <w:pPr>
      <w:ind w:left="720"/>
      <w:contextualSpacing/>
    </w:pPr>
  </w:style>
  <w:style w:type="paragraph" w:customStyle="1" w:styleId="Z">
    <w:name w:val="Z"/>
    <w:basedOn w:val="Standard"/>
    <w:uiPriority w:val="99"/>
    <w:rsid w:val="00263C93"/>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styleId="Aufzhlungszeichen">
    <w:name w:val="List Bullet"/>
    <w:basedOn w:val="Standard"/>
    <w:uiPriority w:val="99"/>
    <w:rsid w:val="006C67F5"/>
    <w:pPr>
      <w:numPr>
        <w:numId w:val="3"/>
      </w:numPr>
      <w:tabs>
        <w:tab w:val="clear" w:pos="360"/>
      </w:tabs>
      <w:contextualSpacing/>
    </w:pPr>
  </w:style>
  <w:style w:type="paragraph" w:customStyle="1" w:styleId="ZVerbandsstufen">
    <w:name w:val="Z Verbandsstufen"/>
    <w:basedOn w:val="Z1"/>
    <w:uiPriority w:val="99"/>
    <w:rsid w:val="007300BB"/>
    <w:pPr>
      <w:spacing w:before="142" w:after="28"/>
    </w:pPr>
    <w:rPr>
      <w:rFonts w:ascii="VdK-Geometr415BlkBTBlack" w:hAnsi="VdK-Geometr415BlkBTBlack" w:cs="VdK-Geometr415BlkBTBlack"/>
      <w:color w:val="3B68AE"/>
    </w:rPr>
  </w:style>
  <w:style w:type="paragraph" w:customStyle="1" w:styleId="VdKBasisBasisformate">
    <w:name w:val="VdK_Basis (Basisformate)"/>
    <w:basedOn w:val="KeinAbsatzformat"/>
    <w:uiPriority w:val="99"/>
    <w:rsid w:val="002F0222"/>
    <w:pPr>
      <w:spacing w:line="240" w:lineRule="atLeast"/>
      <w:jc w:val="both"/>
    </w:pPr>
    <w:rPr>
      <w:rFonts w:ascii="VdK Concorde" w:hAnsi="VdK Concorde" w:cs="VdK Concorde"/>
      <w:sz w:val="19"/>
      <w:szCs w:val="19"/>
    </w:rPr>
  </w:style>
  <w:style w:type="paragraph" w:styleId="Verzeichnis2">
    <w:name w:val="toc 2"/>
    <w:basedOn w:val="Standard"/>
    <w:next w:val="Standard"/>
    <w:autoRedefine/>
    <w:uiPriority w:val="39"/>
    <w:unhideWhenUsed/>
    <w:rsid w:val="009B1F69"/>
    <w:pPr>
      <w:spacing w:after="100"/>
      <w:ind w:left="220"/>
    </w:pPr>
  </w:style>
  <w:style w:type="character" w:styleId="Fett">
    <w:name w:val="Strong"/>
    <w:basedOn w:val="Absatz-Standardschriftart"/>
    <w:uiPriority w:val="22"/>
    <w:qFormat/>
    <w:rsid w:val="00D43B54"/>
    <w:rPr>
      <w:b/>
      <w:bCs/>
    </w:rPr>
  </w:style>
  <w:style w:type="paragraph" w:customStyle="1" w:styleId="Vorspann">
    <w:name w:val="Vorspann"/>
    <w:basedOn w:val="Standard"/>
    <w:link w:val="VorspannZchn"/>
    <w:qFormat/>
    <w:rsid w:val="00754EE3"/>
    <w:rPr>
      <w:rFonts w:asciiTheme="minorHAnsi" w:hAnsiTheme="minorHAnsi"/>
      <w:b/>
    </w:rPr>
  </w:style>
  <w:style w:type="character" w:styleId="Buchtitel">
    <w:name w:val="Book Title"/>
    <w:basedOn w:val="Absatz-Standardschriftart"/>
    <w:uiPriority w:val="33"/>
    <w:qFormat/>
    <w:rsid w:val="00E63369"/>
    <w:rPr>
      <w:b/>
      <w:bCs/>
      <w:i/>
      <w:iCs/>
      <w:spacing w:val="5"/>
    </w:rPr>
  </w:style>
  <w:style w:type="character" w:customStyle="1" w:styleId="VorspannZchn">
    <w:name w:val="Vorspann Zchn"/>
    <w:basedOn w:val="Absatz-Standardschriftart"/>
    <w:link w:val="Vorspann"/>
    <w:rsid w:val="00754EE3"/>
    <w:rPr>
      <w:rFonts w:cs="Times New Roman"/>
      <w:b/>
    </w:rPr>
  </w:style>
  <w:style w:type="character" w:styleId="SchwacherVerweis">
    <w:name w:val="Subtle Reference"/>
    <w:basedOn w:val="Absatz-Standardschriftart"/>
    <w:uiPriority w:val="31"/>
    <w:qFormat/>
    <w:rsid w:val="00E63369"/>
    <w:rPr>
      <w:smallCaps/>
      <w:color w:val="5A5A5A" w:themeColor="text1" w:themeTint="A5"/>
    </w:rPr>
  </w:style>
  <w:style w:type="character" w:styleId="IntensiveHervorhebung">
    <w:name w:val="Intense Emphasis"/>
    <w:basedOn w:val="Absatz-Standardschriftart"/>
    <w:uiPriority w:val="21"/>
    <w:qFormat/>
    <w:rsid w:val="00E63369"/>
    <w:rPr>
      <w:i/>
      <w:iCs/>
      <w:color w:val="4F81BD" w:themeColor="accent1"/>
    </w:rPr>
  </w:style>
  <w:style w:type="character" w:customStyle="1" w:styleId="berschrift3Zchn">
    <w:name w:val="Überschrift 3 Zchn"/>
    <w:basedOn w:val="Absatz-Standardschriftart"/>
    <w:link w:val="berschrift3"/>
    <w:uiPriority w:val="9"/>
    <w:rsid w:val="00E63369"/>
    <w:rPr>
      <w:rFonts w:asciiTheme="majorHAnsi" w:eastAsiaTheme="majorEastAsia" w:hAnsiTheme="majorHAnsi" w:cstheme="majorBidi"/>
      <w:color w:val="243F60" w:themeColor="accent1" w:themeShade="7F"/>
      <w:sz w:val="24"/>
      <w:szCs w:val="24"/>
    </w:rPr>
  </w:style>
  <w:style w:type="character" w:styleId="Hervorhebung">
    <w:name w:val="Emphasis"/>
    <w:basedOn w:val="Absatz-Standardschriftart"/>
    <w:uiPriority w:val="20"/>
    <w:qFormat/>
    <w:rsid w:val="00E63369"/>
    <w:rPr>
      <w:i/>
      <w:iCs/>
    </w:rPr>
  </w:style>
  <w:style w:type="paragraph" w:styleId="Untertitel">
    <w:name w:val="Subtitle"/>
    <w:basedOn w:val="Standard"/>
    <w:next w:val="Standard"/>
    <w:link w:val="UntertitelZchn"/>
    <w:uiPriority w:val="11"/>
    <w:qFormat/>
    <w:rsid w:val="00AF45FB"/>
    <w:pPr>
      <w:numPr>
        <w:ilvl w:val="1"/>
      </w:numPr>
      <w:spacing w:after="160"/>
    </w:pPr>
    <w:rPr>
      <w:rFonts w:eastAsiaTheme="minorEastAsia" w:cstheme="minorBidi"/>
      <w:color w:val="5A5A5A" w:themeColor="text1" w:themeTint="A5"/>
      <w:spacing w:val="15"/>
    </w:rPr>
  </w:style>
  <w:style w:type="character" w:customStyle="1" w:styleId="UntertitelZchn">
    <w:name w:val="Untertitel Zchn"/>
    <w:basedOn w:val="Absatz-Standardschriftart"/>
    <w:link w:val="Untertitel"/>
    <w:uiPriority w:val="11"/>
    <w:rsid w:val="00AF45FB"/>
    <w:rPr>
      <w:rFonts w:eastAsiaTheme="minorEastAsia" w:cstheme="minorBidi"/>
      <w:color w:val="5A5A5A" w:themeColor="text1" w:themeTint="A5"/>
      <w:spacing w:val="15"/>
    </w:rPr>
  </w:style>
  <w:style w:type="paragraph" w:customStyle="1" w:styleId="Rubrik">
    <w:name w:val="Rubrik"/>
    <w:basedOn w:val="Untertitel"/>
    <w:link w:val="RubrikZchn"/>
    <w:qFormat/>
    <w:rsid w:val="001028C0"/>
    <w:pPr>
      <w:keepNext/>
      <w:pBdr>
        <w:top w:val="dotted" w:sz="4" w:space="1" w:color="auto"/>
        <w:bottom w:val="dotted" w:sz="4" w:space="1" w:color="auto"/>
      </w:pBdr>
      <w:shd w:val="clear" w:color="auto" w:fill="F2F2F2" w:themeFill="background1" w:themeFillShade="F2"/>
      <w:spacing w:before="960" w:after="100" w:afterAutospacing="1"/>
      <w:jc w:val="center"/>
    </w:pPr>
    <w:rPr>
      <w:rFonts w:asciiTheme="minorHAnsi" w:hAnsiTheme="minorHAnsi" w:cstheme="minorHAnsi"/>
      <w:b/>
      <w:caps/>
      <w:sz w:val="28"/>
    </w:rPr>
  </w:style>
  <w:style w:type="paragraph" w:customStyle="1" w:styleId="Zwischentitel">
    <w:name w:val="Zwischentitel"/>
    <w:basedOn w:val="Standard"/>
    <w:next w:val="Standard"/>
    <w:link w:val="ZwischentitelZchn"/>
    <w:qFormat/>
    <w:rsid w:val="00F46D56"/>
    <w:rPr>
      <w:rFonts w:asciiTheme="minorHAnsi" w:hAnsiTheme="minorHAnsi"/>
      <w:b/>
      <w:sz w:val="28"/>
    </w:rPr>
  </w:style>
  <w:style w:type="character" w:customStyle="1" w:styleId="RubrikZchn">
    <w:name w:val="Rubrik Zchn"/>
    <w:basedOn w:val="UntertitelZchn"/>
    <w:link w:val="Rubrik"/>
    <w:rsid w:val="001028C0"/>
    <w:rPr>
      <w:rFonts w:eastAsiaTheme="minorEastAsia" w:cstheme="minorBidi"/>
      <w:b/>
      <w:caps/>
      <w:color w:val="5A5A5A" w:themeColor="text1" w:themeTint="A5"/>
      <w:spacing w:val="15"/>
      <w:sz w:val="28"/>
      <w:shd w:val="clear" w:color="auto" w:fill="F2F2F2" w:themeFill="background1" w:themeFillShade="F2"/>
    </w:rPr>
  </w:style>
  <w:style w:type="paragraph" w:customStyle="1" w:styleId="Link">
    <w:name w:val="Link"/>
    <w:basedOn w:val="Standard"/>
    <w:link w:val="LinkZchn"/>
    <w:rsid w:val="00F84F7C"/>
    <w:rPr>
      <w:i/>
      <w:color w:val="4F81BD" w:themeColor="accent1"/>
    </w:rPr>
  </w:style>
  <w:style w:type="character" w:customStyle="1" w:styleId="ZwischentitelZchn">
    <w:name w:val="Zwischentitel Zchn"/>
    <w:basedOn w:val="VorspannZchn"/>
    <w:link w:val="Zwischentitel"/>
    <w:rsid w:val="00F46D56"/>
    <w:rPr>
      <w:rFonts w:cs="Times New Roman"/>
      <w:b/>
      <w:sz w:val="28"/>
    </w:rPr>
  </w:style>
  <w:style w:type="character" w:customStyle="1" w:styleId="LinkZchn">
    <w:name w:val="Link Zchn"/>
    <w:basedOn w:val="Absatz-Standardschriftart"/>
    <w:link w:val="Link"/>
    <w:rsid w:val="00F84F7C"/>
    <w:rPr>
      <w:rFonts w:cs="Times New Roman"/>
      <w:i/>
      <w:color w:val="4F81BD" w:themeColor="accent1"/>
    </w:rPr>
  </w:style>
  <w:style w:type="paragraph" w:customStyle="1" w:styleId="Interview-Frage">
    <w:name w:val="Interview-Frage"/>
    <w:basedOn w:val="Standard"/>
    <w:link w:val="Interview-FrageZchn"/>
    <w:qFormat/>
    <w:rsid w:val="004E5632"/>
    <w:rPr>
      <w:b/>
    </w:rPr>
  </w:style>
  <w:style w:type="character" w:customStyle="1" w:styleId="Interview-FrageZchn">
    <w:name w:val="Interview-Frage Zchn"/>
    <w:basedOn w:val="Absatz-Standardschriftart"/>
    <w:link w:val="Interview-Frage"/>
    <w:rsid w:val="004E5632"/>
    <w:rPr>
      <w:rFonts w:cs="Times New Roman"/>
      <w:b/>
    </w:rPr>
  </w:style>
  <w:style w:type="character" w:customStyle="1" w:styleId="Link-VdK">
    <w:name w:val="Link-VdK"/>
    <w:basedOn w:val="Hyperlink"/>
    <w:uiPriority w:val="1"/>
    <w:qFormat/>
    <w:rsid w:val="00A66BD0"/>
    <w:rPr>
      <w:rFonts w:asciiTheme="majorHAnsi" w:hAnsiTheme="majorHAnsi" w:cs="Times New Roman"/>
      <w:color w:val="1F497D" w:themeColor="text2"/>
      <w:sz w:val="22"/>
      <w:u w:val="single"/>
    </w:rPr>
  </w:style>
  <w:style w:type="paragraph" w:styleId="Kopfzeile">
    <w:name w:val="header"/>
    <w:basedOn w:val="Standard"/>
    <w:link w:val="KopfzeileZchn"/>
    <w:uiPriority w:val="99"/>
    <w:rsid w:val="00F946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4694"/>
    <w:rPr>
      <w:rFonts w:asciiTheme="majorHAnsi" w:hAnsiTheme="majorHAnsi" w:cs="Times New Roman"/>
    </w:rPr>
  </w:style>
  <w:style w:type="paragraph" w:styleId="Fuzeile">
    <w:name w:val="footer"/>
    <w:basedOn w:val="Standard"/>
    <w:link w:val="FuzeileZchn"/>
    <w:uiPriority w:val="99"/>
    <w:rsid w:val="00F946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4694"/>
    <w:rPr>
      <w:rFonts w:asciiTheme="majorHAnsi" w:hAnsiTheme="majorHAnsi" w:cs="Times New Roman"/>
    </w:rPr>
  </w:style>
  <w:style w:type="character" w:styleId="Platzhaltertext">
    <w:name w:val="Placeholder Text"/>
    <w:basedOn w:val="Absatz-Standardschriftart"/>
    <w:uiPriority w:val="99"/>
    <w:semiHidden/>
    <w:rsid w:val="00F94694"/>
    <w:rPr>
      <w:color w:val="808080"/>
    </w:rPr>
  </w:style>
  <w:style w:type="character" w:customStyle="1" w:styleId="berschrift4Zchn">
    <w:name w:val="Überschrift 4 Zchn"/>
    <w:basedOn w:val="Absatz-Standardschriftart"/>
    <w:link w:val="berschrift4"/>
    <w:uiPriority w:val="9"/>
    <w:semiHidden/>
    <w:rsid w:val="00F46D56"/>
    <w:rPr>
      <w:rFonts w:asciiTheme="majorHAnsi" w:eastAsiaTheme="majorEastAsia" w:hAnsiTheme="majorHAnsi" w:cstheme="majorBidi"/>
      <w:i/>
      <w:iCs/>
      <w:color w:val="365F91" w:themeColor="accent1" w:themeShade="BF"/>
    </w:rPr>
  </w:style>
  <w:style w:type="paragraph" w:styleId="Zitat">
    <w:name w:val="Quote"/>
    <w:basedOn w:val="Standard"/>
    <w:next w:val="Standard"/>
    <w:link w:val="ZitatZchn"/>
    <w:uiPriority w:val="29"/>
    <w:qFormat/>
    <w:rsid w:val="00F46D56"/>
    <w:pPr>
      <w:spacing w:before="200" w:after="160"/>
      <w:ind w:left="864" w:right="864"/>
    </w:pPr>
    <w:rPr>
      <w:i/>
      <w:iCs/>
      <w:color w:val="404040" w:themeColor="text1" w:themeTint="BF"/>
    </w:rPr>
  </w:style>
  <w:style w:type="character" w:customStyle="1" w:styleId="ZitatZchn">
    <w:name w:val="Zitat Zchn"/>
    <w:basedOn w:val="Absatz-Standardschriftart"/>
    <w:link w:val="Zitat"/>
    <w:uiPriority w:val="29"/>
    <w:rsid w:val="00F46D56"/>
    <w:rPr>
      <w:rFonts w:asciiTheme="majorHAnsi" w:hAnsiTheme="majorHAnsi" w:cs="Times New Roman"/>
      <w:i/>
      <w:iCs/>
      <w:color w:val="404040" w:themeColor="text1" w:themeTint="BF"/>
    </w:rPr>
  </w:style>
  <w:style w:type="paragraph" w:styleId="IntensivesZitat">
    <w:name w:val="Intense Quote"/>
    <w:basedOn w:val="Standard"/>
    <w:next w:val="Standard"/>
    <w:link w:val="IntensivesZitatZchn"/>
    <w:uiPriority w:val="30"/>
    <w:qFormat/>
    <w:rsid w:val="00F46D56"/>
    <w:pPr>
      <w:pBdr>
        <w:top w:val="single" w:sz="4" w:space="10" w:color="4F81BD" w:themeColor="accent1"/>
        <w:bottom w:val="single" w:sz="4" w:space="10" w:color="4F81BD" w:themeColor="accent1"/>
      </w:pBdr>
      <w:spacing w:before="360" w:after="360"/>
      <w:ind w:left="864" w:right="864"/>
    </w:pPr>
    <w:rPr>
      <w:i/>
      <w:iCs/>
      <w:color w:val="4F81BD" w:themeColor="accent1"/>
    </w:rPr>
  </w:style>
  <w:style w:type="character" w:customStyle="1" w:styleId="IntensivesZitatZchn">
    <w:name w:val="Intensives Zitat Zchn"/>
    <w:basedOn w:val="Absatz-Standardschriftart"/>
    <w:link w:val="IntensivesZitat"/>
    <w:uiPriority w:val="30"/>
    <w:rsid w:val="00F46D56"/>
    <w:rPr>
      <w:rFonts w:asciiTheme="majorHAnsi" w:hAnsiTheme="majorHAnsi" w:cs="Times New Roman"/>
      <w:i/>
      <w:iCs/>
      <w:color w:val="4F81BD" w:themeColor="accent1"/>
    </w:rPr>
  </w:style>
  <w:style w:type="character" w:customStyle="1" w:styleId="Kurisv">
    <w:name w:val="Kurisv"/>
    <w:basedOn w:val="Hervorhebung"/>
    <w:uiPriority w:val="1"/>
    <w:qFormat/>
    <w:rsid w:val="00C81216"/>
    <w:rPr>
      <w:i/>
      <w:iCs/>
    </w:rPr>
  </w:style>
  <w:style w:type="paragraph" w:customStyle="1" w:styleId="Standard-Fett">
    <w:name w:val="Standard-Fett"/>
    <w:basedOn w:val="Standard"/>
    <w:link w:val="Standard-FettZchn"/>
    <w:qFormat/>
    <w:rsid w:val="00231517"/>
    <w:pPr>
      <w:spacing w:before="240" w:after="440" w:line="360" w:lineRule="auto"/>
    </w:pPr>
    <w:rPr>
      <w:b/>
      <w:sz w:val="32"/>
    </w:rPr>
  </w:style>
  <w:style w:type="character" w:customStyle="1" w:styleId="Standard-FettZchn">
    <w:name w:val="Standard-Fett Zchn"/>
    <w:basedOn w:val="Absatz-Standardschriftart"/>
    <w:link w:val="Standard-Fett"/>
    <w:rsid w:val="00231517"/>
    <w:rPr>
      <w:rFonts w:asciiTheme="majorHAnsi" w:hAnsiTheme="majorHAnsi" w:cs="Times New Roman"/>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1812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kv-spitzenverband.d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eo.de/geolino/redewendung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tressabbau:%20Wer%20unter%20Druck%20dazu%20neigt,%20die%20Kiefer%20aufeinanderzupressen,%20sollte%20sich%20regelm&#228;&#223;ig%20Ruhepausen%20g&#246;nnen,%20und%20sich%20die%20Muskelaktivit&#228;t%20bewusst%20machen." TargetMode="External"/><Relationship Id="rId4" Type="http://schemas.openxmlformats.org/officeDocument/2006/relationships/settings" Target="settings.xml"/><Relationship Id="rId9" Type="http://schemas.openxmlformats.org/officeDocument/2006/relationships/hyperlink" Target="https://Zungentrick:%20Die%20Zungenspitze%20locker%20am%20Gaumen%20hinter%20den%20oberen%20Schneidez&#228;hnen%20platzieren.%20Dadurch%20wird%20unbewusstes%20Zubei&#223;en%20verhindert."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1484FF5A454B3E9CE5D94D9A8856E5"/>
        <w:category>
          <w:name w:val="Allgemein"/>
          <w:gallery w:val="placeholder"/>
        </w:category>
        <w:types>
          <w:type w:val="bbPlcHdr"/>
        </w:types>
        <w:behaviors>
          <w:behavior w:val="content"/>
        </w:behaviors>
        <w:guid w:val="{B8A3414C-E12F-4141-86B8-A6FEE1698FF8}"/>
      </w:docPartPr>
      <w:docPartBody>
        <w:p w:rsidR="002638D4" w:rsidRDefault="00F35D01">
          <w:r w:rsidRPr="00AB5801">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DA3"/>
    <w:rsid w:val="00211DA3"/>
    <w:rsid w:val="002638D4"/>
    <w:rsid w:val="00AA45BD"/>
    <w:rsid w:val="00F35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211DA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35D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7514F-C0BF-4F00-A8EC-E317283C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18633</Words>
  <Characters>117389</Characters>
  <Application>Microsoft Office Word</Application>
  <DocSecurity>0</DocSecurity>
  <Lines>978</Lines>
  <Paragraphs>271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VdK-Zeitung Gesamt Oktober-2026</dc:title>
  <dc:subject/>
  <dc:creator>Sozialverband VdK Deutschland e. V.</dc:creator>
  <cp:keywords/>
  <dc:description/>
  <cp:lastModifiedBy>Roppertz, Sandra</cp:lastModifiedBy>
  <cp:revision>30</cp:revision>
  <dcterms:created xsi:type="dcterms:W3CDTF">2023-11-21T14:29:00Z</dcterms:created>
  <dcterms:modified xsi:type="dcterms:W3CDTF">2026-09-23T07:34:00Z</dcterms:modified>
</cp:coreProperties>
</file>