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52554" w14:textId="77777777" w:rsidR="00466FC3" w:rsidRDefault="00466FC3">
      <w:pPr>
        <w:pStyle w:val="Inhaltsverzeichnisberschrift"/>
        <w:rPr>
          <w:rFonts w:asciiTheme="majorHAnsi" w:eastAsia="Times New Roman" w:hAnsiTheme="majorHAnsi"/>
          <w:bCs w:val="0"/>
          <w:color w:val="auto"/>
          <w:sz w:val="22"/>
          <w:szCs w:val="22"/>
          <w:lang w:eastAsia="en-US"/>
        </w:rPr>
      </w:pPr>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14:paraId="5FE5DDFB" w14:textId="77777777" w:rsidR="00D3742D" w:rsidRDefault="00D3742D">
          <w:pPr>
            <w:pStyle w:val="Inhaltsverzeichnisberschrift"/>
          </w:pPr>
          <w:r>
            <w:t>Inhaltsverzeichnis</w:t>
          </w:r>
        </w:p>
        <w:p w14:paraId="1081D78E" w14:textId="77777777" w:rsidR="000044CD"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27740037" w:history="1">
            <w:r w:rsidR="000044CD" w:rsidRPr="009256BF">
              <w:rPr>
                <w:rStyle w:val="Hyperlink"/>
                <w:noProof/>
              </w:rPr>
              <w:t>Zielgenaue Entlastungen notwendig</w:t>
            </w:r>
            <w:r w:rsidR="000044CD">
              <w:rPr>
                <w:noProof/>
                <w:webHidden/>
              </w:rPr>
              <w:tab/>
            </w:r>
            <w:r w:rsidR="000044CD">
              <w:rPr>
                <w:noProof/>
                <w:webHidden/>
              </w:rPr>
              <w:fldChar w:fldCharType="begin"/>
            </w:r>
            <w:r w:rsidR="000044CD">
              <w:rPr>
                <w:noProof/>
                <w:webHidden/>
              </w:rPr>
              <w:instrText xml:space="preserve"> PAGEREF _Toc227740037 \h </w:instrText>
            </w:r>
            <w:r w:rsidR="000044CD">
              <w:rPr>
                <w:noProof/>
                <w:webHidden/>
              </w:rPr>
            </w:r>
            <w:r w:rsidR="000044CD">
              <w:rPr>
                <w:noProof/>
                <w:webHidden/>
              </w:rPr>
              <w:fldChar w:fldCharType="separate"/>
            </w:r>
            <w:r w:rsidR="000044CD">
              <w:rPr>
                <w:noProof/>
                <w:webHidden/>
              </w:rPr>
              <w:t>2</w:t>
            </w:r>
            <w:r w:rsidR="000044CD">
              <w:rPr>
                <w:noProof/>
                <w:webHidden/>
              </w:rPr>
              <w:fldChar w:fldCharType="end"/>
            </w:r>
          </w:hyperlink>
        </w:p>
        <w:p w14:paraId="60370F3E"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38" w:history="1">
            <w:r w:rsidR="000044CD" w:rsidRPr="009256BF">
              <w:rPr>
                <w:rStyle w:val="Hyperlink"/>
                <w:noProof/>
              </w:rPr>
              <w:t>VdK kritisiert Verschleppung der BGG-Reform</w:t>
            </w:r>
            <w:r w:rsidR="000044CD">
              <w:rPr>
                <w:noProof/>
                <w:webHidden/>
              </w:rPr>
              <w:tab/>
            </w:r>
            <w:r w:rsidR="000044CD">
              <w:rPr>
                <w:noProof/>
                <w:webHidden/>
              </w:rPr>
              <w:fldChar w:fldCharType="begin"/>
            </w:r>
            <w:r w:rsidR="000044CD">
              <w:rPr>
                <w:noProof/>
                <w:webHidden/>
              </w:rPr>
              <w:instrText xml:space="preserve"> PAGEREF _Toc227740038 \h </w:instrText>
            </w:r>
            <w:r w:rsidR="000044CD">
              <w:rPr>
                <w:noProof/>
                <w:webHidden/>
              </w:rPr>
            </w:r>
            <w:r w:rsidR="000044CD">
              <w:rPr>
                <w:noProof/>
                <w:webHidden/>
              </w:rPr>
              <w:fldChar w:fldCharType="separate"/>
            </w:r>
            <w:r w:rsidR="000044CD">
              <w:rPr>
                <w:noProof/>
                <w:webHidden/>
              </w:rPr>
              <w:t>3</w:t>
            </w:r>
            <w:r w:rsidR="000044CD">
              <w:rPr>
                <w:noProof/>
                <w:webHidden/>
              </w:rPr>
              <w:fldChar w:fldCharType="end"/>
            </w:r>
          </w:hyperlink>
        </w:p>
        <w:p w14:paraId="3B50A14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39" w:history="1">
            <w:r w:rsidR="000044CD" w:rsidRPr="009256BF">
              <w:rPr>
                <w:rStyle w:val="Hyperlink"/>
                <w:noProof/>
              </w:rPr>
              <w:t>Armut schränkt Teilhabe ein</w:t>
            </w:r>
            <w:r w:rsidR="000044CD">
              <w:rPr>
                <w:noProof/>
                <w:webHidden/>
              </w:rPr>
              <w:tab/>
            </w:r>
            <w:r w:rsidR="000044CD">
              <w:rPr>
                <w:noProof/>
                <w:webHidden/>
              </w:rPr>
              <w:fldChar w:fldCharType="begin"/>
            </w:r>
            <w:r w:rsidR="000044CD">
              <w:rPr>
                <w:noProof/>
                <w:webHidden/>
              </w:rPr>
              <w:instrText xml:space="preserve"> PAGEREF _Toc227740039 \h </w:instrText>
            </w:r>
            <w:r w:rsidR="000044CD">
              <w:rPr>
                <w:noProof/>
                <w:webHidden/>
              </w:rPr>
            </w:r>
            <w:r w:rsidR="000044CD">
              <w:rPr>
                <w:noProof/>
                <w:webHidden/>
              </w:rPr>
              <w:fldChar w:fldCharType="separate"/>
            </w:r>
            <w:r w:rsidR="000044CD">
              <w:rPr>
                <w:noProof/>
                <w:webHidden/>
              </w:rPr>
              <w:t>4</w:t>
            </w:r>
            <w:r w:rsidR="000044CD">
              <w:rPr>
                <w:noProof/>
                <w:webHidden/>
              </w:rPr>
              <w:fldChar w:fldCharType="end"/>
            </w:r>
          </w:hyperlink>
        </w:p>
        <w:p w14:paraId="1F470B63"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0" w:history="1">
            <w:r w:rsidR="000044CD" w:rsidRPr="009256BF">
              <w:rPr>
                <w:rStyle w:val="Hyperlink"/>
                <w:noProof/>
              </w:rPr>
              <w:t>VdK senkt Kosten</w:t>
            </w:r>
            <w:r w:rsidR="000044CD">
              <w:rPr>
                <w:noProof/>
                <w:webHidden/>
              </w:rPr>
              <w:tab/>
            </w:r>
            <w:r w:rsidR="000044CD">
              <w:rPr>
                <w:noProof/>
                <w:webHidden/>
              </w:rPr>
              <w:fldChar w:fldCharType="begin"/>
            </w:r>
            <w:r w:rsidR="000044CD">
              <w:rPr>
                <w:noProof/>
                <w:webHidden/>
              </w:rPr>
              <w:instrText xml:space="preserve"> PAGEREF _Toc227740040 \h </w:instrText>
            </w:r>
            <w:r w:rsidR="000044CD">
              <w:rPr>
                <w:noProof/>
                <w:webHidden/>
              </w:rPr>
            </w:r>
            <w:r w:rsidR="000044CD">
              <w:rPr>
                <w:noProof/>
                <w:webHidden/>
              </w:rPr>
              <w:fldChar w:fldCharType="separate"/>
            </w:r>
            <w:r w:rsidR="000044CD">
              <w:rPr>
                <w:noProof/>
                <w:webHidden/>
              </w:rPr>
              <w:t>5</w:t>
            </w:r>
            <w:r w:rsidR="000044CD">
              <w:rPr>
                <w:noProof/>
                <w:webHidden/>
              </w:rPr>
              <w:fldChar w:fldCharType="end"/>
            </w:r>
          </w:hyperlink>
        </w:p>
        <w:p w14:paraId="038CA777"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1" w:history="1">
            <w:r w:rsidR="000044CD" w:rsidRPr="009256BF">
              <w:rPr>
                <w:rStyle w:val="Hyperlink"/>
                <w:noProof/>
              </w:rPr>
              <w:t>Mit Unterstützungder Glücksspirale</w:t>
            </w:r>
            <w:r w:rsidR="000044CD">
              <w:rPr>
                <w:noProof/>
                <w:webHidden/>
              </w:rPr>
              <w:tab/>
            </w:r>
            <w:r w:rsidR="000044CD">
              <w:rPr>
                <w:noProof/>
                <w:webHidden/>
              </w:rPr>
              <w:fldChar w:fldCharType="begin"/>
            </w:r>
            <w:r w:rsidR="000044CD">
              <w:rPr>
                <w:noProof/>
                <w:webHidden/>
              </w:rPr>
              <w:instrText xml:space="preserve"> PAGEREF _Toc227740041 \h </w:instrText>
            </w:r>
            <w:r w:rsidR="000044CD">
              <w:rPr>
                <w:noProof/>
                <w:webHidden/>
              </w:rPr>
            </w:r>
            <w:r w:rsidR="000044CD">
              <w:rPr>
                <w:noProof/>
                <w:webHidden/>
              </w:rPr>
              <w:fldChar w:fldCharType="separate"/>
            </w:r>
            <w:r w:rsidR="000044CD">
              <w:rPr>
                <w:noProof/>
                <w:webHidden/>
              </w:rPr>
              <w:t>6</w:t>
            </w:r>
            <w:r w:rsidR="000044CD">
              <w:rPr>
                <w:noProof/>
                <w:webHidden/>
              </w:rPr>
              <w:fldChar w:fldCharType="end"/>
            </w:r>
          </w:hyperlink>
        </w:p>
        <w:p w14:paraId="4601332F"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2" w:history="1">
            <w:r w:rsidR="000044CD" w:rsidRPr="009256BF">
              <w:rPr>
                <w:rStyle w:val="Hyperlink"/>
                <w:noProof/>
              </w:rPr>
              <w:t>Mobilität ist Daseinsvorsorge</w:t>
            </w:r>
            <w:r w:rsidR="000044CD">
              <w:rPr>
                <w:noProof/>
                <w:webHidden/>
              </w:rPr>
              <w:tab/>
            </w:r>
            <w:r w:rsidR="000044CD">
              <w:rPr>
                <w:noProof/>
                <w:webHidden/>
              </w:rPr>
              <w:fldChar w:fldCharType="begin"/>
            </w:r>
            <w:r w:rsidR="000044CD">
              <w:rPr>
                <w:noProof/>
                <w:webHidden/>
              </w:rPr>
              <w:instrText xml:space="preserve"> PAGEREF _Toc227740042 \h </w:instrText>
            </w:r>
            <w:r w:rsidR="000044CD">
              <w:rPr>
                <w:noProof/>
                <w:webHidden/>
              </w:rPr>
            </w:r>
            <w:r w:rsidR="000044CD">
              <w:rPr>
                <w:noProof/>
                <w:webHidden/>
              </w:rPr>
              <w:fldChar w:fldCharType="separate"/>
            </w:r>
            <w:r w:rsidR="000044CD">
              <w:rPr>
                <w:noProof/>
                <w:webHidden/>
              </w:rPr>
              <w:t>6</w:t>
            </w:r>
            <w:r w:rsidR="000044CD">
              <w:rPr>
                <w:noProof/>
                <w:webHidden/>
              </w:rPr>
              <w:fldChar w:fldCharType="end"/>
            </w:r>
          </w:hyperlink>
        </w:p>
        <w:p w14:paraId="37155955"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3" w:history="1">
            <w:r w:rsidR="000044CD" w:rsidRPr="009256BF">
              <w:rPr>
                <w:rStyle w:val="Hyperlink"/>
                <w:noProof/>
              </w:rPr>
              <w:t>Zuckersüße Gefahr</w:t>
            </w:r>
            <w:r w:rsidR="000044CD">
              <w:rPr>
                <w:noProof/>
                <w:webHidden/>
              </w:rPr>
              <w:tab/>
            </w:r>
            <w:r w:rsidR="000044CD">
              <w:rPr>
                <w:noProof/>
                <w:webHidden/>
              </w:rPr>
              <w:fldChar w:fldCharType="begin"/>
            </w:r>
            <w:r w:rsidR="000044CD">
              <w:rPr>
                <w:noProof/>
                <w:webHidden/>
              </w:rPr>
              <w:instrText xml:space="preserve"> PAGEREF _Toc227740043 \h </w:instrText>
            </w:r>
            <w:r w:rsidR="000044CD">
              <w:rPr>
                <w:noProof/>
                <w:webHidden/>
              </w:rPr>
            </w:r>
            <w:r w:rsidR="000044CD">
              <w:rPr>
                <w:noProof/>
                <w:webHidden/>
              </w:rPr>
              <w:fldChar w:fldCharType="separate"/>
            </w:r>
            <w:r w:rsidR="000044CD">
              <w:rPr>
                <w:noProof/>
                <w:webHidden/>
              </w:rPr>
              <w:t>7</w:t>
            </w:r>
            <w:r w:rsidR="000044CD">
              <w:rPr>
                <w:noProof/>
                <w:webHidden/>
              </w:rPr>
              <w:fldChar w:fldCharType="end"/>
            </w:r>
          </w:hyperlink>
        </w:p>
        <w:p w14:paraId="4910E1C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4" w:history="1">
            <w:r w:rsidR="000044CD" w:rsidRPr="009256BF">
              <w:rPr>
                <w:rStyle w:val="Hyperlink"/>
                <w:noProof/>
              </w:rPr>
              <w:t>Große Verantwortung auf jungen Schultern</w:t>
            </w:r>
            <w:r w:rsidR="000044CD">
              <w:rPr>
                <w:noProof/>
                <w:webHidden/>
              </w:rPr>
              <w:tab/>
            </w:r>
            <w:r w:rsidR="000044CD">
              <w:rPr>
                <w:noProof/>
                <w:webHidden/>
              </w:rPr>
              <w:fldChar w:fldCharType="begin"/>
            </w:r>
            <w:r w:rsidR="000044CD">
              <w:rPr>
                <w:noProof/>
                <w:webHidden/>
              </w:rPr>
              <w:instrText xml:space="preserve"> PAGEREF _Toc227740044 \h </w:instrText>
            </w:r>
            <w:r w:rsidR="000044CD">
              <w:rPr>
                <w:noProof/>
                <w:webHidden/>
              </w:rPr>
            </w:r>
            <w:r w:rsidR="000044CD">
              <w:rPr>
                <w:noProof/>
                <w:webHidden/>
              </w:rPr>
              <w:fldChar w:fldCharType="separate"/>
            </w:r>
            <w:r w:rsidR="000044CD">
              <w:rPr>
                <w:noProof/>
                <w:webHidden/>
              </w:rPr>
              <w:t>8</w:t>
            </w:r>
            <w:r w:rsidR="000044CD">
              <w:rPr>
                <w:noProof/>
                <w:webHidden/>
              </w:rPr>
              <w:fldChar w:fldCharType="end"/>
            </w:r>
          </w:hyperlink>
        </w:p>
        <w:p w14:paraId="27B174B8"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5" w:history="1">
            <w:r w:rsidR="000044CD" w:rsidRPr="009256BF">
              <w:rPr>
                <w:rStyle w:val="Hyperlink"/>
                <w:noProof/>
              </w:rPr>
              <w:t>Altersvorsorge mit staatlicher Hilfe</w:t>
            </w:r>
            <w:r w:rsidR="000044CD">
              <w:rPr>
                <w:noProof/>
                <w:webHidden/>
              </w:rPr>
              <w:tab/>
            </w:r>
            <w:r w:rsidR="000044CD">
              <w:rPr>
                <w:noProof/>
                <w:webHidden/>
              </w:rPr>
              <w:fldChar w:fldCharType="begin"/>
            </w:r>
            <w:r w:rsidR="000044CD">
              <w:rPr>
                <w:noProof/>
                <w:webHidden/>
              </w:rPr>
              <w:instrText xml:space="preserve"> PAGEREF _Toc227740045 \h </w:instrText>
            </w:r>
            <w:r w:rsidR="000044CD">
              <w:rPr>
                <w:noProof/>
                <w:webHidden/>
              </w:rPr>
            </w:r>
            <w:r w:rsidR="000044CD">
              <w:rPr>
                <w:noProof/>
                <w:webHidden/>
              </w:rPr>
              <w:fldChar w:fldCharType="separate"/>
            </w:r>
            <w:r w:rsidR="000044CD">
              <w:rPr>
                <w:noProof/>
                <w:webHidden/>
              </w:rPr>
              <w:t>11</w:t>
            </w:r>
            <w:r w:rsidR="000044CD">
              <w:rPr>
                <w:noProof/>
                <w:webHidden/>
              </w:rPr>
              <w:fldChar w:fldCharType="end"/>
            </w:r>
          </w:hyperlink>
        </w:p>
        <w:p w14:paraId="5DD774E2"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6" w:history="1">
            <w:r w:rsidR="000044CD" w:rsidRPr="009256BF">
              <w:rPr>
                <w:rStyle w:val="Hyperlink"/>
                <w:noProof/>
              </w:rPr>
              <w:t>Weniger Arbeitsunfälle</w:t>
            </w:r>
            <w:r w:rsidR="000044CD">
              <w:rPr>
                <w:noProof/>
                <w:webHidden/>
              </w:rPr>
              <w:tab/>
            </w:r>
            <w:r w:rsidR="000044CD">
              <w:rPr>
                <w:noProof/>
                <w:webHidden/>
              </w:rPr>
              <w:fldChar w:fldCharType="begin"/>
            </w:r>
            <w:r w:rsidR="000044CD">
              <w:rPr>
                <w:noProof/>
                <w:webHidden/>
              </w:rPr>
              <w:instrText xml:space="preserve"> PAGEREF _Toc227740046 \h </w:instrText>
            </w:r>
            <w:r w:rsidR="000044CD">
              <w:rPr>
                <w:noProof/>
                <w:webHidden/>
              </w:rPr>
            </w:r>
            <w:r w:rsidR="000044CD">
              <w:rPr>
                <w:noProof/>
                <w:webHidden/>
              </w:rPr>
              <w:fldChar w:fldCharType="separate"/>
            </w:r>
            <w:r w:rsidR="000044CD">
              <w:rPr>
                <w:noProof/>
                <w:webHidden/>
              </w:rPr>
              <w:t>12</w:t>
            </w:r>
            <w:r w:rsidR="000044CD">
              <w:rPr>
                <w:noProof/>
                <w:webHidden/>
              </w:rPr>
              <w:fldChar w:fldCharType="end"/>
            </w:r>
          </w:hyperlink>
        </w:p>
        <w:p w14:paraId="2DABEB3A"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7" w:history="1">
            <w:r w:rsidR="000044CD" w:rsidRPr="009256BF">
              <w:rPr>
                <w:rStyle w:val="Hyperlink"/>
                <w:noProof/>
              </w:rPr>
              <w:t>50 Millionen Euro</w:t>
            </w:r>
            <w:r w:rsidR="000044CD">
              <w:rPr>
                <w:noProof/>
                <w:webHidden/>
              </w:rPr>
              <w:tab/>
            </w:r>
            <w:r w:rsidR="000044CD">
              <w:rPr>
                <w:noProof/>
                <w:webHidden/>
              </w:rPr>
              <w:fldChar w:fldCharType="begin"/>
            </w:r>
            <w:r w:rsidR="000044CD">
              <w:rPr>
                <w:noProof/>
                <w:webHidden/>
              </w:rPr>
              <w:instrText xml:space="preserve"> PAGEREF _Toc227740047 \h </w:instrText>
            </w:r>
            <w:r w:rsidR="000044CD">
              <w:rPr>
                <w:noProof/>
                <w:webHidden/>
              </w:rPr>
            </w:r>
            <w:r w:rsidR="000044CD">
              <w:rPr>
                <w:noProof/>
                <w:webHidden/>
              </w:rPr>
              <w:fldChar w:fldCharType="separate"/>
            </w:r>
            <w:r w:rsidR="000044CD">
              <w:rPr>
                <w:noProof/>
                <w:webHidden/>
              </w:rPr>
              <w:t>13</w:t>
            </w:r>
            <w:r w:rsidR="000044CD">
              <w:rPr>
                <w:noProof/>
                <w:webHidden/>
              </w:rPr>
              <w:fldChar w:fldCharType="end"/>
            </w:r>
          </w:hyperlink>
        </w:p>
        <w:p w14:paraId="376BE3D7"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8" w:history="1">
            <w:r w:rsidR="000044CD" w:rsidRPr="009256BF">
              <w:rPr>
                <w:rStyle w:val="Hyperlink"/>
                <w:noProof/>
              </w:rPr>
              <w:t>VdK erzielt Erfolg vor dem Bundessozialgericht</w:t>
            </w:r>
            <w:r w:rsidR="000044CD">
              <w:rPr>
                <w:noProof/>
                <w:webHidden/>
              </w:rPr>
              <w:tab/>
            </w:r>
            <w:r w:rsidR="000044CD">
              <w:rPr>
                <w:noProof/>
                <w:webHidden/>
              </w:rPr>
              <w:fldChar w:fldCharType="begin"/>
            </w:r>
            <w:r w:rsidR="000044CD">
              <w:rPr>
                <w:noProof/>
                <w:webHidden/>
              </w:rPr>
              <w:instrText xml:space="preserve"> PAGEREF _Toc227740048 \h </w:instrText>
            </w:r>
            <w:r w:rsidR="000044CD">
              <w:rPr>
                <w:noProof/>
                <w:webHidden/>
              </w:rPr>
            </w:r>
            <w:r w:rsidR="000044CD">
              <w:rPr>
                <w:noProof/>
                <w:webHidden/>
              </w:rPr>
              <w:fldChar w:fldCharType="separate"/>
            </w:r>
            <w:r w:rsidR="000044CD">
              <w:rPr>
                <w:noProof/>
                <w:webHidden/>
              </w:rPr>
              <w:t>14</w:t>
            </w:r>
            <w:r w:rsidR="000044CD">
              <w:rPr>
                <w:noProof/>
                <w:webHidden/>
              </w:rPr>
              <w:fldChar w:fldCharType="end"/>
            </w:r>
          </w:hyperlink>
        </w:p>
        <w:p w14:paraId="41108BCB"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49" w:history="1">
            <w:r w:rsidR="000044CD" w:rsidRPr="009256BF">
              <w:rPr>
                <w:rStyle w:val="Hyperlink"/>
                <w:noProof/>
              </w:rPr>
              <w:t>Volle Erwerbsminderungsrente erstritten</w:t>
            </w:r>
            <w:r w:rsidR="000044CD">
              <w:rPr>
                <w:noProof/>
                <w:webHidden/>
              </w:rPr>
              <w:tab/>
            </w:r>
            <w:r w:rsidR="000044CD">
              <w:rPr>
                <w:noProof/>
                <w:webHidden/>
              </w:rPr>
              <w:fldChar w:fldCharType="begin"/>
            </w:r>
            <w:r w:rsidR="000044CD">
              <w:rPr>
                <w:noProof/>
                <w:webHidden/>
              </w:rPr>
              <w:instrText xml:space="preserve"> PAGEREF _Toc227740049 \h </w:instrText>
            </w:r>
            <w:r w:rsidR="000044CD">
              <w:rPr>
                <w:noProof/>
                <w:webHidden/>
              </w:rPr>
            </w:r>
            <w:r w:rsidR="000044CD">
              <w:rPr>
                <w:noProof/>
                <w:webHidden/>
              </w:rPr>
              <w:fldChar w:fldCharType="separate"/>
            </w:r>
            <w:r w:rsidR="000044CD">
              <w:rPr>
                <w:noProof/>
                <w:webHidden/>
              </w:rPr>
              <w:t>15</w:t>
            </w:r>
            <w:r w:rsidR="000044CD">
              <w:rPr>
                <w:noProof/>
                <w:webHidden/>
              </w:rPr>
              <w:fldChar w:fldCharType="end"/>
            </w:r>
          </w:hyperlink>
        </w:p>
        <w:p w14:paraId="32CFB8AC"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0" w:history="1">
            <w:r w:rsidR="000044CD" w:rsidRPr="009256BF">
              <w:rPr>
                <w:rStyle w:val="Hyperlink"/>
                <w:noProof/>
              </w:rPr>
              <w:t>VdK klagt wegen verkürzter Verjährungsfrist</w:t>
            </w:r>
            <w:r w:rsidR="000044CD">
              <w:rPr>
                <w:noProof/>
                <w:webHidden/>
              </w:rPr>
              <w:tab/>
            </w:r>
            <w:r w:rsidR="000044CD">
              <w:rPr>
                <w:noProof/>
                <w:webHidden/>
              </w:rPr>
              <w:fldChar w:fldCharType="begin"/>
            </w:r>
            <w:r w:rsidR="000044CD">
              <w:rPr>
                <w:noProof/>
                <w:webHidden/>
              </w:rPr>
              <w:instrText xml:space="preserve"> PAGEREF _Toc227740050 \h </w:instrText>
            </w:r>
            <w:r w:rsidR="000044CD">
              <w:rPr>
                <w:noProof/>
                <w:webHidden/>
              </w:rPr>
            </w:r>
            <w:r w:rsidR="000044CD">
              <w:rPr>
                <w:noProof/>
                <w:webHidden/>
              </w:rPr>
              <w:fldChar w:fldCharType="separate"/>
            </w:r>
            <w:r w:rsidR="000044CD">
              <w:rPr>
                <w:noProof/>
                <w:webHidden/>
              </w:rPr>
              <w:t>17</w:t>
            </w:r>
            <w:r w:rsidR="000044CD">
              <w:rPr>
                <w:noProof/>
                <w:webHidden/>
              </w:rPr>
              <w:fldChar w:fldCharType="end"/>
            </w:r>
          </w:hyperlink>
        </w:p>
        <w:p w14:paraId="65EC74BA"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1" w:history="1">
            <w:r w:rsidR="000044CD" w:rsidRPr="009256BF">
              <w:rPr>
                <w:rStyle w:val="Hyperlink"/>
                <w:noProof/>
              </w:rPr>
              <w:t>Neue Maßstäbe in der Pflege</w:t>
            </w:r>
            <w:r w:rsidR="000044CD">
              <w:rPr>
                <w:noProof/>
                <w:webHidden/>
              </w:rPr>
              <w:tab/>
            </w:r>
            <w:r w:rsidR="000044CD">
              <w:rPr>
                <w:noProof/>
                <w:webHidden/>
              </w:rPr>
              <w:fldChar w:fldCharType="begin"/>
            </w:r>
            <w:r w:rsidR="000044CD">
              <w:rPr>
                <w:noProof/>
                <w:webHidden/>
              </w:rPr>
              <w:instrText xml:space="preserve"> PAGEREF _Toc227740051 \h </w:instrText>
            </w:r>
            <w:r w:rsidR="000044CD">
              <w:rPr>
                <w:noProof/>
                <w:webHidden/>
              </w:rPr>
            </w:r>
            <w:r w:rsidR="000044CD">
              <w:rPr>
                <w:noProof/>
                <w:webHidden/>
              </w:rPr>
              <w:fldChar w:fldCharType="separate"/>
            </w:r>
            <w:r w:rsidR="000044CD">
              <w:rPr>
                <w:noProof/>
                <w:webHidden/>
              </w:rPr>
              <w:t>18</w:t>
            </w:r>
            <w:r w:rsidR="000044CD">
              <w:rPr>
                <w:noProof/>
                <w:webHidden/>
              </w:rPr>
              <w:fldChar w:fldCharType="end"/>
            </w:r>
          </w:hyperlink>
        </w:p>
        <w:p w14:paraId="3B46E008"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2" w:history="1">
            <w:r w:rsidR="000044CD" w:rsidRPr="009256BF">
              <w:rPr>
                <w:rStyle w:val="Hyperlink"/>
                <w:noProof/>
              </w:rPr>
              <w:t>Pflegebedingte Armut</w:t>
            </w:r>
            <w:r w:rsidR="000044CD">
              <w:rPr>
                <w:noProof/>
                <w:webHidden/>
              </w:rPr>
              <w:tab/>
            </w:r>
            <w:r w:rsidR="000044CD">
              <w:rPr>
                <w:noProof/>
                <w:webHidden/>
              </w:rPr>
              <w:fldChar w:fldCharType="begin"/>
            </w:r>
            <w:r w:rsidR="000044CD">
              <w:rPr>
                <w:noProof/>
                <w:webHidden/>
              </w:rPr>
              <w:instrText xml:space="preserve"> PAGEREF _Toc227740052 \h </w:instrText>
            </w:r>
            <w:r w:rsidR="000044CD">
              <w:rPr>
                <w:noProof/>
                <w:webHidden/>
              </w:rPr>
            </w:r>
            <w:r w:rsidR="000044CD">
              <w:rPr>
                <w:noProof/>
                <w:webHidden/>
              </w:rPr>
              <w:fldChar w:fldCharType="separate"/>
            </w:r>
            <w:r w:rsidR="000044CD">
              <w:rPr>
                <w:noProof/>
                <w:webHidden/>
              </w:rPr>
              <w:t>19</w:t>
            </w:r>
            <w:r w:rsidR="000044CD">
              <w:rPr>
                <w:noProof/>
                <w:webHidden/>
              </w:rPr>
              <w:fldChar w:fldCharType="end"/>
            </w:r>
          </w:hyperlink>
        </w:p>
        <w:p w14:paraId="290D724B"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3" w:history="1">
            <w:r w:rsidR="000044CD" w:rsidRPr="009256BF">
              <w:rPr>
                <w:rStyle w:val="Hyperlink"/>
                <w:noProof/>
              </w:rPr>
              <w:t>Reformen sollen Krankenkassenbeiträge stabilisieren</w:t>
            </w:r>
            <w:r w:rsidR="000044CD">
              <w:rPr>
                <w:noProof/>
                <w:webHidden/>
              </w:rPr>
              <w:tab/>
            </w:r>
            <w:r w:rsidR="000044CD">
              <w:rPr>
                <w:noProof/>
                <w:webHidden/>
              </w:rPr>
              <w:fldChar w:fldCharType="begin"/>
            </w:r>
            <w:r w:rsidR="000044CD">
              <w:rPr>
                <w:noProof/>
                <w:webHidden/>
              </w:rPr>
              <w:instrText xml:space="preserve"> PAGEREF _Toc227740053 \h </w:instrText>
            </w:r>
            <w:r w:rsidR="000044CD">
              <w:rPr>
                <w:noProof/>
                <w:webHidden/>
              </w:rPr>
            </w:r>
            <w:r w:rsidR="000044CD">
              <w:rPr>
                <w:noProof/>
                <w:webHidden/>
              </w:rPr>
              <w:fldChar w:fldCharType="separate"/>
            </w:r>
            <w:r w:rsidR="000044CD">
              <w:rPr>
                <w:noProof/>
                <w:webHidden/>
              </w:rPr>
              <w:t>20</w:t>
            </w:r>
            <w:r w:rsidR="000044CD">
              <w:rPr>
                <w:noProof/>
                <w:webHidden/>
              </w:rPr>
              <w:fldChar w:fldCharType="end"/>
            </w:r>
          </w:hyperlink>
        </w:p>
        <w:p w14:paraId="03E6637E"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4" w:history="1">
            <w:r w:rsidR="000044CD" w:rsidRPr="009256BF">
              <w:rPr>
                <w:rStyle w:val="Hyperlink"/>
                <w:noProof/>
              </w:rPr>
              <w:t>Überkreuz-Spende erlaubt</w:t>
            </w:r>
            <w:r w:rsidR="000044CD">
              <w:rPr>
                <w:noProof/>
                <w:webHidden/>
              </w:rPr>
              <w:tab/>
            </w:r>
            <w:r w:rsidR="000044CD">
              <w:rPr>
                <w:noProof/>
                <w:webHidden/>
              </w:rPr>
              <w:fldChar w:fldCharType="begin"/>
            </w:r>
            <w:r w:rsidR="000044CD">
              <w:rPr>
                <w:noProof/>
                <w:webHidden/>
              </w:rPr>
              <w:instrText xml:space="preserve"> PAGEREF _Toc227740054 \h </w:instrText>
            </w:r>
            <w:r w:rsidR="000044CD">
              <w:rPr>
                <w:noProof/>
                <w:webHidden/>
              </w:rPr>
            </w:r>
            <w:r w:rsidR="000044CD">
              <w:rPr>
                <w:noProof/>
                <w:webHidden/>
              </w:rPr>
              <w:fldChar w:fldCharType="separate"/>
            </w:r>
            <w:r w:rsidR="000044CD">
              <w:rPr>
                <w:noProof/>
                <w:webHidden/>
              </w:rPr>
              <w:t>21</w:t>
            </w:r>
            <w:r w:rsidR="000044CD">
              <w:rPr>
                <w:noProof/>
                <w:webHidden/>
              </w:rPr>
              <w:fldChar w:fldCharType="end"/>
            </w:r>
          </w:hyperlink>
        </w:p>
        <w:p w14:paraId="38838DC0"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5" w:history="1">
            <w:r w:rsidR="000044CD" w:rsidRPr="009256BF">
              <w:rPr>
                <w:rStyle w:val="Hyperlink"/>
                <w:noProof/>
              </w:rPr>
              <w:t>Sparpotenzial bei Verwaltungskosten</w:t>
            </w:r>
            <w:r w:rsidR="000044CD">
              <w:rPr>
                <w:noProof/>
                <w:webHidden/>
              </w:rPr>
              <w:tab/>
            </w:r>
            <w:r w:rsidR="000044CD">
              <w:rPr>
                <w:noProof/>
                <w:webHidden/>
              </w:rPr>
              <w:fldChar w:fldCharType="begin"/>
            </w:r>
            <w:r w:rsidR="000044CD">
              <w:rPr>
                <w:noProof/>
                <w:webHidden/>
              </w:rPr>
              <w:instrText xml:space="preserve"> PAGEREF _Toc227740055 \h </w:instrText>
            </w:r>
            <w:r w:rsidR="000044CD">
              <w:rPr>
                <w:noProof/>
                <w:webHidden/>
              </w:rPr>
            </w:r>
            <w:r w:rsidR="000044CD">
              <w:rPr>
                <w:noProof/>
                <w:webHidden/>
              </w:rPr>
              <w:fldChar w:fldCharType="separate"/>
            </w:r>
            <w:r w:rsidR="000044CD">
              <w:rPr>
                <w:noProof/>
                <w:webHidden/>
              </w:rPr>
              <w:t>22</w:t>
            </w:r>
            <w:r w:rsidR="000044CD">
              <w:rPr>
                <w:noProof/>
                <w:webHidden/>
              </w:rPr>
              <w:fldChar w:fldCharType="end"/>
            </w:r>
          </w:hyperlink>
        </w:p>
        <w:p w14:paraId="29E1C256"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6" w:history="1">
            <w:r w:rsidR="000044CD" w:rsidRPr="009256BF">
              <w:rPr>
                <w:rStyle w:val="Hyperlink"/>
                <w:noProof/>
              </w:rPr>
              <w:t>Versorgungspauschale für chronisch Kranke</w:t>
            </w:r>
            <w:r w:rsidR="000044CD">
              <w:rPr>
                <w:noProof/>
                <w:webHidden/>
              </w:rPr>
              <w:tab/>
            </w:r>
            <w:r w:rsidR="000044CD">
              <w:rPr>
                <w:noProof/>
                <w:webHidden/>
              </w:rPr>
              <w:fldChar w:fldCharType="begin"/>
            </w:r>
            <w:r w:rsidR="000044CD">
              <w:rPr>
                <w:noProof/>
                <w:webHidden/>
              </w:rPr>
              <w:instrText xml:space="preserve"> PAGEREF _Toc227740056 \h </w:instrText>
            </w:r>
            <w:r w:rsidR="000044CD">
              <w:rPr>
                <w:noProof/>
                <w:webHidden/>
              </w:rPr>
            </w:r>
            <w:r w:rsidR="000044CD">
              <w:rPr>
                <w:noProof/>
                <w:webHidden/>
              </w:rPr>
              <w:fldChar w:fldCharType="separate"/>
            </w:r>
            <w:r w:rsidR="000044CD">
              <w:rPr>
                <w:noProof/>
                <w:webHidden/>
              </w:rPr>
              <w:t>23</w:t>
            </w:r>
            <w:r w:rsidR="000044CD">
              <w:rPr>
                <w:noProof/>
                <w:webHidden/>
              </w:rPr>
              <w:fldChar w:fldCharType="end"/>
            </w:r>
          </w:hyperlink>
        </w:p>
        <w:p w14:paraId="54E930F0"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7" w:history="1">
            <w:r w:rsidR="000044CD" w:rsidRPr="009256BF">
              <w:rPr>
                <w:rStyle w:val="Hyperlink"/>
                <w:noProof/>
              </w:rPr>
              <w:t>Augen auf beim Reha-Entlassungsbericht</w:t>
            </w:r>
            <w:r w:rsidR="000044CD">
              <w:rPr>
                <w:noProof/>
                <w:webHidden/>
              </w:rPr>
              <w:tab/>
            </w:r>
            <w:r w:rsidR="000044CD">
              <w:rPr>
                <w:noProof/>
                <w:webHidden/>
              </w:rPr>
              <w:fldChar w:fldCharType="begin"/>
            </w:r>
            <w:r w:rsidR="000044CD">
              <w:rPr>
                <w:noProof/>
                <w:webHidden/>
              </w:rPr>
              <w:instrText xml:space="preserve"> PAGEREF _Toc227740057 \h </w:instrText>
            </w:r>
            <w:r w:rsidR="000044CD">
              <w:rPr>
                <w:noProof/>
                <w:webHidden/>
              </w:rPr>
            </w:r>
            <w:r w:rsidR="000044CD">
              <w:rPr>
                <w:noProof/>
                <w:webHidden/>
              </w:rPr>
              <w:fldChar w:fldCharType="separate"/>
            </w:r>
            <w:r w:rsidR="000044CD">
              <w:rPr>
                <w:noProof/>
                <w:webHidden/>
              </w:rPr>
              <w:t>24</w:t>
            </w:r>
            <w:r w:rsidR="000044CD">
              <w:rPr>
                <w:noProof/>
                <w:webHidden/>
              </w:rPr>
              <w:fldChar w:fldCharType="end"/>
            </w:r>
          </w:hyperlink>
        </w:p>
        <w:p w14:paraId="11073CE9"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8" w:history="1">
            <w:r w:rsidR="000044CD" w:rsidRPr="009256BF">
              <w:rPr>
                <w:rStyle w:val="Hyperlink"/>
                <w:noProof/>
              </w:rPr>
              <w:t>Mehr als nur Medikamente</w:t>
            </w:r>
            <w:r w:rsidR="000044CD">
              <w:rPr>
                <w:noProof/>
                <w:webHidden/>
              </w:rPr>
              <w:tab/>
            </w:r>
            <w:r w:rsidR="000044CD">
              <w:rPr>
                <w:noProof/>
                <w:webHidden/>
              </w:rPr>
              <w:fldChar w:fldCharType="begin"/>
            </w:r>
            <w:r w:rsidR="000044CD">
              <w:rPr>
                <w:noProof/>
                <w:webHidden/>
              </w:rPr>
              <w:instrText xml:space="preserve"> PAGEREF _Toc227740058 \h </w:instrText>
            </w:r>
            <w:r w:rsidR="000044CD">
              <w:rPr>
                <w:noProof/>
                <w:webHidden/>
              </w:rPr>
            </w:r>
            <w:r w:rsidR="000044CD">
              <w:rPr>
                <w:noProof/>
                <w:webHidden/>
              </w:rPr>
              <w:fldChar w:fldCharType="separate"/>
            </w:r>
            <w:r w:rsidR="000044CD">
              <w:rPr>
                <w:noProof/>
                <w:webHidden/>
              </w:rPr>
              <w:t>26</w:t>
            </w:r>
            <w:r w:rsidR="000044CD">
              <w:rPr>
                <w:noProof/>
                <w:webHidden/>
              </w:rPr>
              <w:fldChar w:fldCharType="end"/>
            </w:r>
          </w:hyperlink>
        </w:p>
        <w:p w14:paraId="5DB86254"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59" w:history="1">
            <w:r w:rsidR="000044CD" w:rsidRPr="009256BF">
              <w:rPr>
                <w:rStyle w:val="Hyperlink"/>
                <w:noProof/>
              </w:rPr>
              <w:t>Alltag mit Asthma</w:t>
            </w:r>
            <w:r w:rsidR="000044CD">
              <w:rPr>
                <w:noProof/>
                <w:webHidden/>
              </w:rPr>
              <w:tab/>
            </w:r>
            <w:r w:rsidR="000044CD">
              <w:rPr>
                <w:noProof/>
                <w:webHidden/>
              </w:rPr>
              <w:fldChar w:fldCharType="begin"/>
            </w:r>
            <w:r w:rsidR="000044CD">
              <w:rPr>
                <w:noProof/>
                <w:webHidden/>
              </w:rPr>
              <w:instrText xml:space="preserve"> PAGEREF _Toc227740059 \h </w:instrText>
            </w:r>
            <w:r w:rsidR="000044CD">
              <w:rPr>
                <w:noProof/>
                <w:webHidden/>
              </w:rPr>
            </w:r>
            <w:r w:rsidR="000044CD">
              <w:rPr>
                <w:noProof/>
                <w:webHidden/>
              </w:rPr>
              <w:fldChar w:fldCharType="separate"/>
            </w:r>
            <w:r w:rsidR="000044CD">
              <w:rPr>
                <w:noProof/>
                <w:webHidden/>
              </w:rPr>
              <w:t>26</w:t>
            </w:r>
            <w:r w:rsidR="000044CD">
              <w:rPr>
                <w:noProof/>
                <w:webHidden/>
              </w:rPr>
              <w:fldChar w:fldCharType="end"/>
            </w:r>
          </w:hyperlink>
        </w:p>
        <w:p w14:paraId="05A10663"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0" w:history="1">
            <w:r w:rsidR="000044CD" w:rsidRPr="009256BF">
              <w:rPr>
                <w:rStyle w:val="Hyperlink"/>
                <w:noProof/>
              </w:rPr>
              <w:t>Bei Schlaganfall schnell handeln</w:t>
            </w:r>
            <w:r w:rsidR="000044CD">
              <w:rPr>
                <w:noProof/>
                <w:webHidden/>
              </w:rPr>
              <w:tab/>
            </w:r>
            <w:r w:rsidR="000044CD">
              <w:rPr>
                <w:noProof/>
                <w:webHidden/>
              </w:rPr>
              <w:fldChar w:fldCharType="begin"/>
            </w:r>
            <w:r w:rsidR="000044CD">
              <w:rPr>
                <w:noProof/>
                <w:webHidden/>
              </w:rPr>
              <w:instrText xml:space="preserve"> PAGEREF _Toc227740060 \h </w:instrText>
            </w:r>
            <w:r w:rsidR="000044CD">
              <w:rPr>
                <w:noProof/>
                <w:webHidden/>
              </w:rPr>
            </w:r>
            <w:r w:rsidR="000044CD">
              <w:rPr>
                <w:noProof/>
                <w:webHidden/>
              </w:rPr>
              <w:fldChar w:fldCharType="separate"/>
            </w:r>
            <w:r w:rsidR="000044CD">
              <w:rPr>
                <w:noProof/>
                <w:webHidden/>
              </w:rPr>
              <w:t>28</w:t>
            </w:r>
            <w:r w:rsidR="000044CD">
              <w:rPr>
                <w:noProof/>
                <w:webHidden/>
              </w:rPr>
              <w:fldChar w:fldCharType="end"/>
            </w:r>
          </w:hyperlink>
        </w:p>
        <w:p w14:paraId="0D7EBD97"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1" w:history="1">
            <w:r w:rsidR="000044CD" w:rsidRPr="009256BF">
              <w:rPr>
                <w:rStyle w:val="Hyperlink"/>
                <w:noProof/>
              </w:rPr>
              <w:t>Soziale Netzwerke auch bei Älteren immer beliebter</w:t>
            </w:r>
            <w:r w:rsidR="000044CD">
              <w:rPr>
                <w:noProof/>
                <w:webHidden/>
              </w:rPr>
              <w:tab/>
            </w:r>
            <w:r w:rsidR="000044CD">
              <w:rPr>
                <w:noProof/>
                <w:webHidden/>
              </w:rPr>
              <w:fldChar w:fldCharType="begin"/>
            </w:r>
            <w:r w:rsidR="000044CD">
              <w:rPr>
                <w:noProof/>
                <w:webHidden/>
              </w:rPr>
              <w:instrText xml:space="preserve"> PAGEREF _Toc227740061 \h </w:instrText>
            </w:r>
            <w:r w:rsidR="000044CD">
              <w:rPr>
                <w:noProof/>
                <w:webHidden/>
              </w:rPr>
            </w:r>
            <w:r w:rsidR="000044CD">
              <w:rPr>
                <w:noProof/>
                <w:webHidden/>
              </w:rPr>
              <w:fldChar w:fldCharType="separate"/>
            </w:r>
            <w:r w:rsidR="000044CD">
              <w:rPr>
                <w:noProof/>
                <w:webHidden/>
              </w:rPr>
              <w:t>29</w:t>
            </w:r>
            <w:r w:rsidR="000044CD">
              <w:rPr>
                <w:noProof/>
                <w:webHidden/>
              </w:rPr>
              <w:fldChar w:fldCharType="end"/>
            </w:r>
          </w:hyperlink>
        </w:p>
        <w:p w14:paraId="523BF11E"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2" w:history="1">
            <w:r w:rsidR="000044CD" w:rsidRPr="009256BF">
              <w:rPr>
                <w:rStyle w:val="Hyperlink"/>
                <w:noProof/>
              </w:rPr>
              <w:t>Deutsche sind wieder glücklicher</w:t>
            </w:r>
            <w:r w:rsidR="000044CD">
              <w:rPr>
                <w:noProof/>
                <w:webHidden/>
              </w:rPr>
              <w:tab/>
            </w:r>
            <w:r w:rsidR="000044CD">
              <w:rPr>
                <w:noProof/>
                <w:webHidden/>
              </w:rPr>
              <w:fldChar w:fldCharType="begin"/>
            </w:r>
            <w:r w:rsidR="000044CD">
              <w:rPr>
                <w:noProof/>
                <w:webHidden/>
              </w:rPr>
              <w:instrText xml:space="preserve"> PAGEREF _Toc227740062 \h </w:instrText>
            </w:r>
            <w:r w:rsidR="000044CD">
              <w:rPr>
                <w:noProof/>
                <w:webHidden/>
              </w:rPr>
            </w:r>
            <w:r w:rsidR="000044CD">
              <w:rPr>
                <w:noProof/>
                <w:webHidden/>
              </w:rPr>
              <w:fldChar w:fldCharType="separate"/>
            </w:r>
            <w:r w:rsidR="000044CD">
              <w:rPr>
                <w:noProof/>
                <w:webHidden/>
              </w:rPr>
              <w:t>31</w:t>
            </w:r>
            <w:r w:rsidR="000044CD">
              <w:rPr>
                <w:noProof/>
                <w:webHidden/>
              </w:rPr>
              <w:fldChar w:fldCharType="end"/>
            </w:r>
          </w:hyperlink>
        </w:p>
        <w:p w14:paraId="609DECA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3" w:history="1">
            <w:r w:rsidR="000044CD" w:rsidRPr="009256BF">
              <w:rPr>
                <w:rStyle w:val="Hyperlink"/>
                <w:noProof/>
              </w:rPr>
              <w:t>Mit neuen Ideen zu mehr Inklusion</w:t>
            </w:r>
            <w:r w:rsidR="000044CD">
              <w:rPr>
                <w:noProof/>
                <w:webHidden/>
              </w:rPr>
              <w:tab/>
            </w:r>
            <w:r w:rsidR="000044CD">
              <w:rPr>
                <w:noProof/>
                <w:webHidden/>
              </w:rPr>
              <w:fldChar w:fldCharType="begin"/>
            </w:r>
            <w:r w:rsidR="000044CD">
              <w:rPr>
                <w:noProof/>
                <w:webHidden/>
              </w:rPr>
              <w:instrText xml:space="preserve"> PAGEREF _Toc227740063 \h </w:instrText>
            </w:r>
            <w:r w:rsidR="000044CD">
              <w:rPr>
                <w:noProof/>
                <w:webHidden/>
              </w:rPr>
            </w:r>
            <w:r w:rsidR="000044CD">
              <w:rPr>
                <w:noProof/>
                <w:webHidden/>
              </w:rPr>
              <w:fldChar w:fldCharType="separate"/>
            </w:r>
            <w:r w:rsidR="000044CD">
              <w:rPr>
                <w:noProof/>
                <w:webHidden/>
              </w:rPr>
              <w:t>32</w:t>
            </w:r>
            <w:r w:rsidR="000044CD">
              <w:rPr>
                <w:noProof/>
                <w:webHidden/>
              </w:rPr>
              <w:fldChar w:fldCharType="end"/>
            </w:r>
          </w:hyperlink>
        </w:p>
        <w:p w14:paraId="258BC970"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4" w:history="1">
            <w:r w:rsidR="000044CD" w:rsidRPr="009256BF">
              <w:rPr>
                <w:rStyle w:val="Hyperlink"/>
                <w:noProof/>
              </w:rPr>
              <w:t>Der Weg zum Schwerbehindertenausweis</w:t>
            </w:r>
            <w:r w:rsidR="000044CD">
              <w:rPr>
                <w:noProof/>
                <w:webHidden/>
              </w:rPr>
              <w:tab/>
            </w:r>
            <w:r w:rsidR="000044CD">
              <w:rPr>
                <w:noProof/>
                <w:webHidden/>
              </w:rPr>
              <w:fldChar w:fldCharType="begin"/>
            </w:r>
            <w:r w:rsidR="000044CD">
              <w:rPr>
                <w:noProof/>
                <w:webHidden/>
              </w:rPr>
              <w:instrText xml:space="preserve"> PAGEREF _Toc227740064 \h </w:instrText>
            </w:r>
            <w:r w:rsidR="000044CD">
              <w:rPr>
                <w:noProof/>
                <w:webHidden/>
              </w:rPr>
            </w:r>
            <w:r w:rsidR="000044CD">
              <w:rPr>
                <w:noProof/>
                <w:webHidden/>
              </w:rPr>
              <w:fldChar w:fldCharType="separate"/>
            </w:r>
            <w:r w:rsidR="000044CD">
              <w:rPr>
                <w:noProof/>
                <w:webHidden/>
              </w:rPr>
              <w:t>33</w:t>
            </w:r>
            <w:r w:rsidR="000044CD">
              <w:rPr>
                <w:noProof/>
                <w:webHidden/>
              </w:rPr>
              <w:fldChar w:fldCharType="end"/>
            </w:r>
          </w:hyperlink>
        </w:p>
        <w:p w14:paraId="7EBB8535"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5" w:history="1">
            <w:r w:rsidR="000044CD" w:rsidRPr="009256BF">
              <w:rPr>
                <w:rStyle w:val="Hyperlink"/>
                <w:noProof/>
              </w:rPr>
              <w:t>Aktuelle Filme auf VdK-TV</w:t>
            </w:r>
            <w:r w:rsidR="000044CD">
              <w:rPr>
                <w:noProof/>
                <w:webHidden/>
              </w:rPr>
              <w:tab/>
            </w:r>
            <w:r w:rsidR="000044CD">
              <w:rPr>
                <w:noProof/>
                <w:webHidden/>
              </w:rPr>
              <w:fldChar w:fldCharType="begin"/>
            </w:r>
            <w:r w:rsidR="000044CD">
              <w:rPr>
                <w:noProof/>
                <w:webHidden/>
              </w:rPr>
              <w:instrText xml:space="preserve"> PAGEREF _Toc227740065 \h </w:instrText>
            </w:r>
            <w:r w:rsidR="000044CD">
              <w:rPr>
                <w:noProof/>
                <w:webHidden/>
              </w:rPr>
            </w:r>
            <w:r w:rsidR="000044CD">
              <w:rPr>
                <w:noProof/>
                <w:webHidden/>
              </w:rPr>
              <w:fldChar w:fldCharType="separate"/>
            </w:r>
            <w:r w:rsidR="000044CD">
              <w:rPr>
                <w:noProof/>
                <w:webHidden/>
              </w:rPr>
              <w:t>34</w:t>
            </w:r>
            <w:r w:rsidR="000044CD">
              <w:rPr>
                <w:noProof/>
                <w:webHidden/>
              </w:rPr>
              <w:fldChar w:fldCharType="end"/>
            </w:r>
          </w:hyperlink>
        </w:p>
        <w:p w14:paraId="7AF232F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6" w:history="1">
            <w:r w:rsidR="000044CD" w:rsidRPr="009256BF">
              <w:rPr>
                <w:rStyle w:val="Hyperlink"/>
                <w:noProof/>
              </w:rPr>
              <w:t>„miteinander“ im Mai</w:t>
            </w:r>
            <w:r w:rsidR="000044CD">
              <w:rPr>
                <w:noProof/>
                <w:webHidden/>
              </w:rPr>
              <w:tab/>
            </w:r>
            <w:r w:rsidR="000044CD">
              <w:rPr>
                <w:noProof/>
                <w:webHidden/>
              </w:rPr>
              <w:fldChar w:fldCharType="begin"/>
            </w:r>
            <w:r w:rsidR="000044CD">
              <w:rPr>
                <w:noProof/>
                <w:webHidden/>
              </w:rPr>
              <w:instrText xml:space="preserve"> PAGEREF _Toc227740066 \h </w:instrText>
            </w:r>
            <w:r w:rsidR="000044CD">
              <w:rPr>
                <w:noProof/>
                <w:webHidden/>
              </w:rPr>
            </w:r>
            <w:r w:rsidR="000044CD">
              <w:rPr>
                <w:noProof/>
                <w:webHidden/>
              </w:rPr>
              <w:fldChar w:fldCharType="separate"/>
            </w:r>
            <w:r w:rsidR="000044CD">
              <w:rPr>
                <w:noProof/>
                <w:webHidden/>
              </w:rPr>
              <w:t>35</w:t>
            </w:r>
            <w:r w:rsidR="000044CD">
              <w:rPr>
                <w:noProof/>
                <w:webHidden/>
              </w:rPr>
              <w:fldChar w:fldCharType="end"/>
            </w:r>
          </w:hyperlink>
        </w:p>
        <w:p w14:paraId="38994EF2"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7" w:history="1">
            <w:r w:rsidR="000044CD" w:rsidRPr="009256BF">
              <w:rPr>
                <w:rStyle w:val="Hyperlink"/>
                <w:noProof/>
              </w:rPr>
              <w:t>Es lebe die Poesie</w:t>
            </w:r>
            <w:r w:rsidR="000044CD">
              <w:rPr>
                <w:noProof/>
                <w:webHidden/>
              </w:rPr>
              <w:tab/>
            </w:r>
            <w:r w:rsidR="000044CD">
              <w:rPr>
                <w:noProof/>
                <w:webHidden/>
              </w:rPr>
              <w:fldChar w:fldCharType="begin"/>
            </w:r>
            <w:r w:rsidR="000044CD">
              <w:rPr>
                <w:noProof/>
                <w:webHidden/>
              </w:rPr>
              <w:instrText xml:space="preserve"> PAGEREF _Toc227740067 \h </w:instrText>
            </w:r>
            <w:r w:rsidR="000044CD">
              <w:rPr>
                <w:noProof/>
                <w:webHidden/>
              </w:rPr>
            </w:r>
            <w:r w:rsidR="000044CD">
              <w:rPr>
                <w:noProof/>
                <w:webHidden/>
              </w:rPr>
              <w:fldChar w:fldCharType="separate"/>
            </w:r>
            <w:r w:rsidR="000044CD">
              <w:rPr>
                <w:noProof/>
                <w:webHidden/>
              </w:rPr>
              <w:t>36</w:t>
            </w:r>
            <w:r w:rsidR="000044CD">
              <w:rPr>
                <w:noProof/>
                <w:webHidden/>
              </w:rPr>
              <w:fldChar w:fldCharType="end"/>
            </w:r>
          </w:hyperlink>
        </w:p>
        <w:p w14:paraId="6C767C7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8" w:history="1">
            <w:r w:rsidR="000044CD" w:rsidRPr="009256BF">
              <w:rPr>
                <w:rStyle w:val="Hyperlink"/>
                <w:noProof/>
              </w:rPr>
              <w:t>Tanzende Perlenaus Luft und Glanz</w:t>
            </w:r>
            <w:r w:rsidR="000044CD">
              <w:rPr>
                <w:noProof/>
                <w:webHidden/>
              </w:rPr>
              <w:tab/>
            </w:r>
            <w:r w:rsidR="000044CD">
              <w:rPr>
                <w:noProof/>
                <w:webHidden/>
              </w:rPr>
              <w:fldChar w:fldCharType="begin"/>
            </w:r>
            <w:r w:rsidR="000044CD">
              <w:rPr>
                <w:noProof/>
                <w:webHidden/>
              </w:rPr>
              <w:instrText xml:space="preserve"> PAGEREF _Toc227740068 \h </w:instrText>
            </w:r>
            <w:r w:rsidR="000044CD">
              <w:rPr>
                <w:noProof/>
                <w:webHidden/>
              </w:rPr>
            </w:r>
            <w:r w:rsidR="000044CD">
              <w:rPr>
                <w:noProof/>
                <w:webHidden/>
              </w:rPr>
              <w:fldChar w:fldCharType="separate"/>
            </w:r>
            <w:r w:rsidR="000044CD">
              <w:rPr>
                <w:noProof/>
                <w:webHidden/>
              </w:rPr>
              <w:t>37</w:t>
            </w:r>
            <w:r w:rsidR="000044CD">
              <w:rPr>
                <w:noProof/>
                <w:webHidden/>
              </w:rPr>
              <w:fldChar w:fldCharType="end"/>
            </w:r>
          </w:hyperlink>
        </w:p>
        <w:p w14:paraId="1890F5C9"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69" w:history="1">
            <w:r w:rsidR="000044CD" w:rsidRPr="009256BF">
              <w:rPr>
                <w:rStyle w:val="Hyperlink"/>
                <w:noProof/>
              </w:rPr>
              <w:t>Bunte Welt der Schmetterlinge</w:t>
            </w:r>
            <w:r w:rsidR="000044CD">
              <w:rPr>
                <w:noProof/>
                <w:webHidden/>
              </w:rPr>
              <w:tab/>
            </w:r>
            <w:r w:rsidR="000044CD">
              <w:rPr>
                <w:noProof/>
                <w:webHidden/>
              </w:rPr>
              <w:fldChar w:fldCharType="begin"/>
            </w:r>
            <w:r w:rsidR="000044CD">
              <w:rPr>
                <w:noProof/>
                <w:webHidden/>
              </w:rPr>
              <w:instrText xml:space="preserve"> PAGEREF _Toc227740069 \h </w:instrText>
            </w:r>
            <w:r w:rsidR="000044CD">
              <w:rPr>
                <w:noProof/>
                <w:webHidden/>
              </w:rPr>
            </w:r>
            <w:r w:rsidR="000044CD">
              <w:rPr>
                <w:noProof/>
                <w:webHidden/>
              </w:rPr>
              <w:fldChar w:fldCharType="separate"/>
            </w:r>
            <w:r w:rsidR="000044CD">
              <w:rPr>
                <w:noProof/>
                <w:webHidden/>
              </w:rPr>
              <w:t>37</w:t>
            </w:r>
            <w:r w:rsidR="000044CD">
              <w:rPr>
                <w:noProof/>
                <w:webHidden/>
              </w:rPr>
              <w:fldChar w:fldCharType="end"/>
            </w:r>
          </w:hyperlink>
        </w:p>
        <w:p w14:paraId="0C31E7E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0" w:history="1">
            <w:r w:rsidR="000044CD" w:rsidRPr="009256BF">
              <w:rPr>
                <w:rStyle w:val="Hyperlink"/>
                <w:noProof/>
              </w:rPr>
              <w:t>Frische Luft, kleine Snacks und Blick nach vorn</w:t>
            </w:r>
            <w:r w:rsidR="000044CD">
              <w:rPr>
                <w:noProof/>
                <w:webHidden/>
              </w:rPr>
              <w:tab/>
            </w:r>
            <w:r w:rsidR="000044CD">
              <w:rPr>
                <w:noProof/>
                <w:webHidden/>
              </w:rPr>
              <w:fldChar w:fldCharType="begin"/>
            </w:r>
            <w:r w:rsidR="000044CD">
              <w:rPr>
                <w:noProof/>
                <w:webHidden/>
              </w:rPr>
              <w:instrText xml:space="preserve"> PAGEREF _Toc227740070 \h </w:instrText>
            </w:r>
            <w:r w:rsidR="000044CD">
              <w:rPr>
                <w:noProof/>
                <w:webHidden/>
              </w:rPr>
            </w:r>
            <w:r w:rsidR="000044CD">
              <w:rPr>
                <w:noProof/>
                <w:webHidden/>
              </w:rPr>
              <w:fldChar w:fldCharType="separate"/>
            </w:r>
            <w:r w:rsidR="000044CD">
              <w:rPr>
                <w:noProof/>
                <w:webHidden/>
              </w:rPr>
              <w:t>38</w:t>
            </w:r>
            <w:r w:rsidR="000044CD">
              <w:rPr>
                <w:noProof/>
                <w:webHidden/>
              </w:rPr>
              <w:fldChar w:fldCharType="end"/>
            </w:r>
          </w:hyperlink>
        </w:p>
        <w:p w14:paraId="71995DA1"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1" w:history="1">
            <w:r w:rsidR="000044CD" w:rsidRPr="009256BF">
              <w:rPr>
                <w:rStyle w:val="Hyperlink"/>
                <w:noProof/>
              </w:rPr>
              <w:t>„Wer an die Macht der Kapitalmärkte glaubt, irrt“</w:t>
            </w:r>
            <w:r w:rsidR="000044CD">
              <w:rPr>
                <w:noProof/>
                <w:webHidden/>
              </w:rPr>
              <w:tab/>
            </w:r>
            <w:r w:rsidR="000044CD">
              <w:rPr>
                <w:noProof/>
                <w:webHidden/>
              </w:rPr>
              <w:fldChar w:fldCharType="begin"/>
            </w:r>
            <w:r w:rsidR="000044CD">
              <w:rPr>
                <w:noProof/>
                <w:webHidden/>
              </w:rPr>
              <w:instrText xml:space="preserve"> PAGEREF _Toc227740071 \h </w:instrText>
            </w:r>
            <w:r w:rsidR="000044CD">
              <w:rPr>
                <w:noProof/>
                <w:webHidden/>
              </w:rPr>
            </w:r>
            <w:r w:rsidR="000044CD">
              <w:rPr>
                <w:noProof/>
                <w:webHidden/>
              </w:rPr>
              <w:fldChar w:fldCharType="separate"/>
            </w:r>
            <w:r w:rsidR="000044CD">
              <w:rPr>
                <w:noProof/>
                <w:webHidden/>
              </w:rPr>
              <w:t>40</w:t>
            </w:r>
            <w:r w:rsidR="000044CD">
              <w:rPr>
                <w:noProof/>
                <w:webHidden/>
              </w:rPr>
              <w:fldChar w:fldCharType="end"/>
            </w:r>
          </w:hyperlink>
        </w:p>
        <w:p w14:paraId="23A9E0DA"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2" w:history="1">
            <w:r w:rsidR="000044CD" w:rsidRPr="009256BF">
              <w:rPr>
                <w:rStyle w:val="Hyperlink"/>
                <w:noProof/>
              </w:rPr>
              <w:t>Fragwürdige Tipps</w:t>
            </w:r>
            <w:r w:rsidR="000044CD">
              <w:rPr>
                <w:noProof/>
                <w:webHidden/>
              </w:rPr>
              <w:tab/>
            </w:r>
            <w:r w:rsidR="000044CD">
              <w:rPr>
                <w:noProof/>
                <w:webHidden/>
              </w:rPr>
              <w:fldChar w:fldCharType="begin"/>
            </w:r>
            <w:r w:rsidR="000044CD">
              <w:rPr>
                <w:noProof/>
                <w:webHidden/>
              </w:rPr>
              <w:instrText xml:space="preserve"> PAGEREF _Toc227740072 \h </w:instrText>
            </w:r>
            <w:r w:rsidR="000044CD">
              <w:rPr>
                <w:noProof/>
                <w:webHidden/>
              </w:rPr>
            </w:r>
            <w:r w:rsidR="000044CD">
              <w:rPr>
                <w:noProof/>
                <w:webHidden/>
              </w:rPr>
              <w:fldChar w:fldCharType="separate"/>
            </w:r>
            <w:r w:rsidR="000044CD">
              <w:rPr>
                <w:noProof/>
                <w:webHidden/>
              </w:rPr>
              <w:t>41</w:t>
            </w:r>
            <w:r w:rsidR="000044CD">
              <w:rPr>
                <w:noProof/>
                <w:webHidden/>
              </w:rPr>
              <w:fldChar w:fldCharType="end"/>
            </w:r>
          </w:hyperlink>
        </w:p>
        <w:p w14:paraId="4723CC4F"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3" w:history="1">
            <w:r w:rsidR="000044CD" w:rsidRPr="009256BF">
              <w:rPr>
                <w:rStyle w:val="Hyperlink"/>
                <w:noProof/>
              </w:rPr>
              <w:t>Sind Sie kreditwürdig?</w:t>
            </w:r>
            <w:r w:rsidR="000044CD">
              <w:rPr>
                <w:noProof/>
                <w:webHidden/>
              </w:rPr>
              <w:tab/>
            </w:r>
            <w:r w:rsidR="000044CD">
              <w:rPr>
                <w:noProof/>
                <w:webHidden/>
              </w:rPr>
              <w:fldChar w:fldCharType="begin"/>
            </w:r>
            <w:r w:rsidR="000044CD">
              <w:rPr>
                <w:noProof/>
                <w:webHidden/>
              </w:rPr>
              <w:instrText xml:space="preserve"> PAGEREF _Toc227740073 \h </w:instrText>
            </w:r>
            <w:r w:rsidR="000044CD">
              <w:rPr>
                <w:noProof/>
                <w:webHidden/>
              </w:rPr>
            </w:r>
            <w:r w:rsidR="000044CD">
              <w:rPr>
                <w:noProof/>
                <w:webHidden/>
              </w:rPr>
              <w:fldChar w:fldCharType="separate"/>
            </w:r>
            <w:r w:rsidR="000044CD">
              <w:rPr>
                <w:noProof/>
                <w:webHidden/>
              </w:rPr>
              <w:t>42</w:t>
            </w:r>
            <w:r w:rsidR="000044CD">
              <w:rPr>
                <w:noProof/>
                <w:webHidden/>
              </w:rPr>
              <w:fldChar w:fldCharType="end"/>
            </w:r>
          </w:hyperlink>
        </w:p>
        <w:p w14:paraId="4361C69E"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4" w:history="1">
            <w:r w:rsidR="000044CD" w:rsidRPr="009256BF">
              <w:rPr>
                <w:rStyle w:val="Hyperlink"/>
                <w:noProof/>
              </w:rPr>
              <w:t>Kleine Räder, großer Fahrspaß</w:t>
            </w:r>
            <w:r w:rsidR="000044CD">
              <w:rPr>
                <w:noProof/>
                <w:webHidden/>
              </w:rPr>
              <w:tab/>
            </w:r>
            <w:r w:rsidR="000044CD">
              <w:rPr>
                <w:noProof/>
                <w:webHidden/>
              </w:rPr>
              <w:fldChar w:fldCharType="begin"/>
            </w:r>
            <w:r w:rsidR="000044CD">
              <w:rPr>
                <w:noProof/>
                <w:webHidden/>
              </w:rPr>
              <w:instrText xml:space="preserve"> PAGEREF _Toc227740074 \h </w:instrText>
            </w:r>
            <w:r w:rsidR="000044CD">
              <w:rPr>
                <w:noProof/>
                <w:webHidden/>
              </w:rPr>
            </w:r>
            <w:r w:rsidR="000044CD">
              <w:rPr>
                <w:noProof/>
                <w:webHidden/>
              </w:rPr>
              <w:fldChar w:fldCharType="separate"/>
            </w:r>
            <w:r w:rsidR="000044CD">
              <w:rPr>
                <w:noProof/>
                <w:webHidden/>
              </w:rPr>
              <w:t>43</w:t>
            </w:r>
            <w:r w:rsidR="000044CD">
              <w:rPr>
                <w:noProof/>
                <w:webHidden/>
              </w:rPr>
              <w:fldChar w:fldCharType="end"/>
            </w:r>
          </w:hyperlink>
        </w:p>
        <w:p w14:paraId="190D8606"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5" w:history="1">
            <w:r w:rsidR="000044CD" w:rsidRPr="009256BF">
              <w:rPr>
                <w:rStyle w:val="Hyperlink"/>
                <w:noProof/>
              </w:rPr>
              <w:t>Was sich für Autofahrer ändert</w:t>
            </w:r>
            <w:r w:rsidR="000044CD">
              <w:rPr>
                <w:noProof/>
                <w:webHidden/>
              </w:rPr>
              <w:tab/>
            </w:r>
            <w:r w:rsidR="000044CD">
              <w:rPr>
                <w:noProof/>
                <w:webHidden/>
              </w:rPr>
              <w:fldChar w:fldCharType="begin"/>
            </w:r>
            <w:r w:rsidR="000044CD">
              <w:rPr>
                <w:noProof/>
                <w:webHidden/>
              </w:rPr>
              <w:instrText xml:space="preserve"> PAGEREF _Toc227740075 \h </w:instrText>
            </w:r>
            <w:r w:rsidR="000044CD">
              <w:rPr>
                <w:noProof/>
                <w:webHidden/>
              </w:rPr>
            </w:r>
            <w:r w:rsidR="000044CD">
              <w:rPr>
                <w:noProof/>
                <w:webHidden/>
              </w:rPr>
              <w:fldChar w:fldCharType="separate"/>
            </w:r>
            <w:r w:rsidR="000044CD">
              <w:rPr>
                <w:noProof/>
                <w:webHidden/>
              </w:rPr>
              <w:t>43</w:t>
            </w:r>
            <w:r w:rsidR="000044CD">
              <w:rPr>
                <w:noProof/>
                <w:webHidden/>
              </w:rPr>
              <w:fldChar w:fldCharType="end"/>
            </w:r>
          </w:hyperlink>
        </w:p>
        <w:p w14:paraId="36DB59DD"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6" w:history="1">
            <w:r w:rsidR="000044CD" w:rsidRPr="009256BF">
              <w:rPr>
                <w:rStyle w:val="Hyperlink"/>
                <w:noProof/>
              </w:rPr>
              <w:t>Fernsehstar und Kämpfer für Inklusion</w:t>
            </w:r>
            <w:r w:rsidR="000044CD">
              <w:rPr>
                <w:noProof/>
                <w:webHidden/>
              </w:rPr>
              <w:tab/>
            </w:r>
            <w:r w:rsidR="000044CD">
              <w:rPr>
                <w:noProof/>
                <w:webHidden/>
              </w:rPr>
              <w:fldChar w:fldCharType="begin"/>
            </w:r>
            <w:r w:rsidR="000044CD">
              <w:rPr>
                <w:noProof/>
                <w:webHidden/>
              </w:rPr>
              <w:instrText xml:space="preserve"> PAGEREF _Toc227740076 \h </w:instrText>
            </w:r>
            <w:r w:rsidR="000044CD">
              <w:rPr>
                <w:noProof/>
                <w:webHidden/>
              </w:rPr>
            </w:r>
            <w:r w:rsidR="000044CD">
              <w:rPr>
                <w:noProof/>
                <w:webHidden/>
              </w:rPr>
              <w:fldChar w:fldCharType="separate"/>
            </w:r>
            <w:r w:rsidR="000044CD">
              <w:rPr>
                <w:noProof/>
                <w:webHidden/>
              </w:rPr>
              <w:t>45</w:t>
            </w:r>
            <w:r w:rsidR="000044CD">
              <w:rPr>
                <w:noProof/>
                <w:webHidden/>
              </w:rPr>
              <w:fldChar w:fldCharType="end"/>
            </w:r>
          </w:hyperlink>
        </w:p>
        <w:p w14:paraId="18134A48"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7" w:history="1">
            <w:r w:rsidR="000044CD" w:rsidRPr="009256BF">
              <w:rPr>
                <w:rStyle w:val="Hyperlink"/>
                <w:noProof/>
              </w:rPr>
              <w:t>Ab ins Feld: Die Erdbeersaison beginnt</w:t>
            </w:r>
            <w:r w:rsidR="000044CD">
              <w:rPr>
                <w:noProof/>
                <w:webHidden/>
              </w:rPr>
              <w:tab/>
            </w:r>
            <w:r w:rsidR="000044CD">
              <w:rPr>
                <w:noProof/>
                <w:webHidden/>
              </w:rPr>
              <w:fldChar w:fldCharType="begin"/>
            </w:r>
            <w:r w:rsidR="000044CD">
              <w:rPr>
                <w:noProof/>
                <w:webHidden/>
              </w:rPr>
              <w:instrText xml:space="preserve"> PAGEREF _Toc227740077 \h </w:instrText>
            </w:r>
            <w:r w:rsidR="000044CD">
              <w:rPr>
                <w:noProof/>
                <w:webHidden/>
              </w:rPr>
            </w:r>
            <w:r w:rsidR="000044CD">
              <w:rPr>
                <w:noProof/>
                <w:webHidden/>
              </w:rPr>
              <w:fldChar w:fldCharType="separate"/>
            </w:r>
            <w:r w:rsidR="000044CD">
              <w:rPr>
                <w:noProof/>
                <w:webHidden/>
              </w:rPr>
              <w:t>46</w:t>
            </w:r>
            <w:r w:rsidR="000044CD">
              <w:rPr>
                <w:noProof/>
                <w:webHidden/>
              </w:rPr>
              <w:fldChar w:fldCharType="end"/>
            </w:r>
          </w:hyperlink>
        </w:p>
        <w:p w14:paraId="37155B36"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8" w:history="1">
            <w:r w:rsidR="000044CD" w:rsidRPr="009256BF">
              <w:rPr>
                <w:rStyle w:val="Hyperlink"/>
                <w:noProof/>
              </w:rPr>
              <w:t>Klare Angaben, mehr Frucht</w:t>
            </w:r>
            <w:r w:rsidR="000044CD">
              <w:rPr>
                <w:noProof/>
                <w:webHidden/>
              </w:rPr>
              <w:tab/>
            </w:r>
            <w:r w:rsidR="000044CD">
              <w:rPr>
                <w:noProof/>
                <w:webHidden/>
              </w:rPr>
              <w:fldChar w:fldCharType="begin"/>
            </w:r>
            <w:r w:rsidR="000044CD">
              <w:rPr>
                <w:noProof/>
                <w:webHidden/>
              </w:rPr>
              <w:instrText xml:space="preserve"> PAGEREF _Toc227740078 \h </w:instrText>
            </w:r>
            <w:r w:rsidR="000044CD">
              <w:rPr>
                <w:noProof/>
                <w:webHidden/>
              </w:rPr>
            </w:r>
            <w:r w:rsidR="000044CD">
              <w:rPr>
                <w:noProof/>
                <w:webHidden/>
              </w:rPr>
              <w:fldChar w:fldCharType="separate"/>
            </w:r>
            <w:r w:rsidR="000044CD">
              <w:rPr>
                <w:noProof/>
                <w:webHidden/>
              </w:rPr>
              <w:t>48</w:t>
            </w:r>
            <w:r w:rsidR="000044CD">
              <w:rPr>
                <w:noProof/>
                <w:webHidden/>
              </w:rPr>
              <w:fldChar w:fldCharType="end"/>
            </w:r>
          </w:hyperlink>
        </w:p>
        <w:p w14:paraId="49590327"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79" w:history="1">
            <w:r w:rsidR="000044CD" w:rsidRPr="009256BF">
              <w:rPr>
                <w:rStyle w:val="Hyperlink"/>
                <w:noProof/>
              </w:rPr>
              <w:t>Was jetzt auf den Grill gehört</w:t>
            </w:r>
            <w:r w:rsidR="000044CD">
              <w:rPr>
                <w:noProof/>
                <w:webHidden/>
              </w:rPr>
              <w:tab/>
            </w:r>
            <w:r w:rsidR="000044CD">
              <w:rPr>
                <w:noProof/>
                <w:webHidden/>
              </w:rPr>
              <w:fldChar w:fldCharType="begin"/>
            </w:r>
            <w:r w:rsidR="000044CD">
              <w:rPr>
                <w:noProof/>
                <w:webHidden/>
              </w:rPr>
              <w:instrText xml:space="preserve"> PAGEREF _Toc227740079 \h </w:instrText>
            </w:r>
            <w:r w:rsidR="000044CD">
              <w:rPr>
                <w:noProof/>
                <w:webHidden/>
              </w:rPr>
            </w:r>
            <w:r w:rsidR="000044CD">
              <w:rPr>
                <w:noProof/>
                <w:webHidden/>
              </w:rPr>
              <w:fldChar w:fldCharType="separate"/>
            </w:r>
            <w:r w:rsidR="000044CD">
              <w:rPr>
                <w:noProof/>
                <w:webHidden/>
              </w:rPr>
              <w:t>48</w:t>
            </w:r>
            <w:r w:rsidR="000044CD">
              <w:rPr>
                <w:noProof/>
                <w:webHidden/>
              </w:rPr>
              <w:fldChar w:fldCharType="end"/>
            </w:r>
          </w:hyperlink>
        </w:p>
        <w:p w14:paraId="76DAD584" w14:textId="77777777" w:rsidR="000044CD" w:rsidRDefault="00E3794A">
          <w:pPr>
            <w:pStyle w:val="Verzeichnis1"/>
            <w:tabs>
              <w:tab w:val="right" w:leader="dot" w:pos="9062"/>
            </w:tabs>
            <w:rPr>
              <w:rFonts w:asciiTheme="minorHAnsi" w:eastAsiaTheme="minorEastAsia" w:hAnsiTheme="minorHAnsi" w:cstheme="minorBidi"/>
              <w:noProof/>
              <w:lang w:eastAsia="de-DE"/>
            </w:rPr>
          </w:pPr>
          <w:hyperlink w:anchor="_Toc227740080" w:history="1">
            <w:r w:rsidR="000044CD" w:rsidRPr="009256BF">
              <w:rPr>
                <w:rStyle w:val="Hyperlink"/>
                <w:noProof/>
              </w:rPr>
              <w:t>Zweimal im Hochsprung-Olymp</w:t>
            </w:r>
            <w:r w:rsidR="000044CD">
              <w:rPr>
                <w:noProof/>
                <w:webHidden/>
              </w:rPr>
              <w:tab/>
            </w:r>
            <w:r w:rsidR="000044CD">
              <w:rPr>
                <w:noProof/>
                <w:webHidden/>
              </w:rPr>
              <w:fldChar w:fldCharType="begin"/>
            </w:r>
            <w:r w:rsidR="000044CD">
              <w:rPr>
                <w:noProof/>
                <w:webHidden/>
              </w:rPr>
              <w:instrText xml:space="preserve"> PAGEREF _Toc227740080 \h </w:instrText>
            </w:r>
            <w:r w:rsidR="000044CD">
              <w:rPr>
                <w:noProof/>
                <w:webHidden/>
              </w:rPr>
            </w:r>
            <w:r w:rsidR="000044CD">
              <w:rPr>
                <w:noProof/>
                <w:webHidden/>
              </w:rPr>
              <w:fldChar w:fldCharType="separate"/>
            </w:r>
            <w:r w:rsidR="000044CD">
              <w:rPr>
                <w:noProof/>
                <w:webHidden/>
              </w:rPr>
              <w:t>49</w:t>
            </w:r>
            <w:r w:rsidR="000044CD">
              <w:rPr>
                <w:noProof/>
                <w:webHidden/>
              </w:rPr>
              <w:fldChar w:fldCharType="end"/>
            </w:r>
          </w:hyperlink>
        </w:p>
        <w:p w14:paraId="443E2DCD" w14:textId="77777777" w:rsidR="009A4B15" w:rsidRPr="009A4B15" w:rsidRDefault="00AA6B2B" w:rsidP="009A4B15">
          <w:pPr>
            <w:rPr>
              <w:b/>
            </w:rPr>
          </w:pPr>
          <w:r>
            <w:rPr>
              <w:b/>
              <w:bCs/>
              <w:noProof/>
            </w:rPr>
            <w:fldChar w:fldCharType="end"/>
          </w:r>
        </w:p>
      </w:sdtContent>
    </w:sdt>
    <w:p w14:paraId="206FED43" w14:textId="77777777" w:rsidR="00D56E61" w:rsidRDefault="000044CD">
      <w:pPr>
        <w:pStyle w:val="berschrift1"/>
      </w:pPr>
      <w:bookmarkStart w:id="0" w:name="_Toc227740037"/>
      <w:r>
        <w:t>Zielgenaue Entlastungen notwendig</w:t>
      </w:r>
      <w:bookmarkEnd w:id="0"/>
    </w:p>
    <w:p w14:paraId="00EDEA60" w14:textId="77777777" w:rsidR="00D56E61" w:rsidRDefault="000044CD">
      <w:pPr>
        <w:pStyle w:val="Standard-Fett"/>
      </w:pPr>
      <w:r>
        <w:t xml:space="preserve">Steigende Energie- und Lebensmittelpreise belasten Verbraucherinnen und Verbraucher </w:t>
      </w:r>
    </w:p>
    <w:p w14:paraId="42451FD8" w14:textId="77777777" w:rsidR="00D56E61" w:rsidRDefault="000044CD">
      <w:pPr>
        <w:pStyle w:val="Vorspann"/>
      </w:pPr>
      <w:r>
        <w:t xml:space="preserve">Die Krise am Persischen Golf wirkt sich immer stärker auf den Alltag der Menschen in Deutschland aus. </w:t>
      </w:r>
      <w:proofErr w:type="gramStart"/>
      <w:r>
        <w:t>Über steigende</w:t>
      </w:r>
      <w:proofErr w:type="gramEnd"/>
      <w:r>
        <w:t xml:space="preserve"> Energiepreise und Inflationsraten sowie gestörte Lieferketten beeinflusst sie das Leben aller.</w:t>
      </w:r>
    </w:p>
    <w:p w14:paraId="70E3796F" w14:textId="77777777" w:rsidR="00D56E61" w:rsidRDefault="000044CD">
      <w:r>
        <w:t xml:space="preserve">Die ersten beschlossenen Entlastungsmaßnahmen der Regierungskoalition wie eine Senkung der Mineralölsteuer um 17 Cent pro Liter gehen nach Ansicht des Sozialverbands VdK nicht weit genug. VdK-Präsidentin Verena Bentele kritisiert: „Ob diese Entlastung überhaupt bei den Verbraucherinnen und Verbrauchern ankommt, ist völlig offen. Einen wirksamen Mechanismus, der die vollständige Weitergabe garantiert, gibt es nicht. Staatliche Maßnahmen verpuffen, während Unternehmen profitieren. Gerade Menschen, die jeden Euro zweimal umdrehen müssen, gehen leer aus.“ Untersuchungen zeigen, dass Mineralölkonzerne bis jetzt über eine Milliarde Euro zusätzlichen Gewinn durch die Krise gemacht haben. </w:t>
      </w:r>
    </w:p>
    <w:p w14:paraId="61B68611" w14:textId="77777777" w:rsidR="00D56E61" w:rsidRDefault="000044CD">
      <w:r>
        <w:t xml:space="preserve">Auch die geplante steuerfreie Prämie für Beschäftigte von 1000 Euro greift zu kurz. Rentnerinnen und Rentner, Menschen mit Behinderung, Studierende sowie Familien mit geringen Einkommen profitieren kaum oder überhaupt nicht davon. Bentele sagt: „Unterm </w:t>
      </w:r>
      <w:r>
        <w:lastRenderedPageBreak/>
        <w:t>Strich zeigt sich eine Schieflage. Während wirtschaftliche Interessen berücksichtigt werden, fehlt es an wirksamer Unterstützung für einkommensschwache Haushalte.“</w:t>
      </w:r>
    </w:p>
    <w:p w14:paraId="32422600" w14:textId="77777777" w:rsidR="00D56E61" w:rsidRDefault="000044CD">
      <w:r>
        <w:t xml:space="preserve">Der VdK fordert eine klare Neuausrichtung bei den Entlastungen: weg von pauschalen hin zu zielgenauen Maßnahmen für vulnerable Gruppen. Bentele betont: „Soziale Gerechtigkeit entsteht nicht durch Hoffnung, sondern durch konkrete Maßnahmen.“ </w:t>
      </w:r>
    </w:p>
    <w:p w14:paraId="2EB89017" w14:textId="77777777" w:rsidR="00D56E61" w:rsidRDefault="000044CD">
      <w:r>
        <w:t xml:space="preserve">Steigende Energiepreise und immer unsicherer werdende Lieferketten machen sich seit Beginn der Iran-Krise auch bei der Entwicklung der Lebensmittelpreise bemerkbar. Das Problem: Die Preisspirale für Lebensmittel wurde schon vor einigen Jahren in Gang gesetzt. Die Preise sind seit dem Jahr 2020 um insgesamt 36 Prozent deutlich gestiegen. </w:t>
      </w:r>
    </w:p>
    <w:p w14:paraId="797C7DC5" w14:textId="77777777" w:rsidR="00D56E61" w:rsidRDefault="000044CD">
      <w:r>
        <w:t xml:space="preserve">Besonders betroffen sind auch hier Menschen mit kleinen Einkommen und Renten. Sie haben längst keine Ersparnisse mehr, um zusätzliche Kosten für alltägliche Ausgaben auszugleichen. Die Tafeln sowie vergleichbare Projekte wie Suppenküchen vermelden einen immer größeren Zulauf von Bedürftigen, vor allem von Seniorinnen und Senioren. Der VdK hat in den letzten Jahren wiederholt eine Absenkung der Mehrwertsteuer auf Grundnahrungsmittel, wie Obst, Gemüse und Hülsenfrüchte, gefordert. Das wäre allerdings nur ein kleiner Teil der Lösung, um Verbraucherinnen und Verbraucher zu entlasten. </w:t>
      </w:r>
    </w:p>
    <w:p w14:paraId="37F1F058" w14:textId="77777777" w:rsidR="00D56E61" w:rsidRDefault="000044CD">
      <w:r>
        <w:t xml:space="preserve">Der VdK fordert eine grundlegende Entlastung für Menschen, die Bürgergeld, Grundsicherung im Alter oder Leistungen aufgrund einer Erwerbsminderung erhalten: „Die Kosten für Lebensmittel müssen in den monatlichen Regelsätzen endlich so berechnet werden, dass man sich davon gesund und ausreichend ernähren kann“, erklärt Bentele.  </w:t>
      </w:r>
      <w:r>
        <w:rPr>
          <w:b/>
        </w:rPr>
        <w:t>Julia Frediani</w:t>
      </w:r>
    </w:p>
    <w:p w14:paraId="579E2A85" w14:textId="77777777" w:rsidR="00D56E61" w:rsidRDefault="000044CD">
      <w:pPr>
        <w:pStyle w:val="berschrift1"/>
      </w:pPr>
      <w:bookmarkStart w:id="1" w:name="_Toc227740038"/>
      <w:r>
        <w:t>VdK kritisiert Verschleppung der BGG-Reform</w:t>
      </w:r>
      <w:bookmarkEnd w:id="1"/>
    </w:p>
    <w:p w14:paraId="69D22640" w14:textId="77777777" w:rsidR="00D56E61" w:rsidRDefault="000044CD">
      <w:pPr>
        <w:pStyle w:val="Standard-Fett"/>
      </w:pPr>
      <w:r>
        <w:t>Koalition muss Gesetzentwurf nachbessern, um Teilhabe und Selbstbestimmung zu stärken</w:t>
      </w:r>
    </w:p>
    <w:p w14:paraId="3E1261B5" w14:textId="77777777" w:rsidR="00D56E61" w:rsidRDefault="000044CD">
      <w:pPr>
        <w:pStyle w:val="Vorspann"/>
      </w:pPr>
      <w:r>
        <w:t xml:space="preserve">Die Reform des Behindertengleichstellungsgesetzes (BGG) wirkt wie eine Farce: Weder Inhalt noch Zeitplan deuten darauf hin, dass die Bundesregierung das Vorhaben ernst nimmt. </w:t>
      </w:r>
    </w:p>
    <w:p w14:paraId="623B2B47" w14:textId="77777777" w:rsidR="00D56E61" w:rsidRDefault="000044CD">
      <w:r>
        <w:t xml:space="preserve">„Es wird immer wieder deutlich, dass die Reform des BGG nicht die notwendige Priorität für die Bundesregierung hat“, stellt VdK-Präsidentin Verena Bentele fest. Erst kürzlich wurde die erste Lesung des Gesetzentwurfs im Bundestag verschoben. Dies fügt sich ein in das Bild politischer Entschlusslosigkeit. </w:t>
      </w:r>
    </w:p>
    <w:p w14:paraId="12F82A6C" w14:textId="77777777" w:rsidR="00D56E61" w:rsidRDefault="000044CD">
      <w:r>
        <w:t xml:space="preserve">Schon die Vorgängerregierung hatte die Reform als wichtiges Projekt angekündigt, aber nicht umgesetzt. Die große Koalition hatte sie anschließend in ihr 100-Tage-Sofortprogramm aufgenommen, dieses Versprechen aber nicht eingelöst. Zwar wurden im November 2025 dann </w:t>
      </w:r>
      <w:r>
        <w:lastRenderedPageBreak/>
        <w:t>endlich die Verbände angehört, doch der Kabinettsbeschluss erfolgte erst im Februar 2026. Weitere parlamentarische Schritte fehlen seitdem.</w:t>
      </w:r>
    </w:p>
    <w:p w14:paraId="55802CBA" w14:textId="77777777" w:rsidR="00D56E61" w:rsidRDefault="000044CD">
      <w:r>
        <w:t xml:space="preserve">„Eine wirksame BGG-Reform wäre ein zentraler Schritt hin zu mehr Teilhabe und Selbstbestimmung im Alltag von Menschen mit Behinderung“, erklärt Bentele. Ernüchternd sei, dass sowohl Zeitplan als auch Gesetzentwurf unverbindlich bleiben. „Hier braucht es neben mehr Tempo vor allem mehr Verbindlichkeit, damit sich die Situation von Menschen mit Behinderung hierzulande deutlich verbessert“, fordert Bentele. </w:t>
      </w:r>
    </w:p>
    <w:p w14:paraId="3140BDF4" w14:textId="77777777" w:rsidR="00D56E61" w:rsidRDefault="000044CD">
      <w:r>
        <w:t xml:space="preserve">Derzeit sieht der VdK im Entwurf des BGG erheblichen Nachbesserungsbedarf. „Auch zukünftig muss im Einzelfall geprüft werden können, ob etwa der Einbau einer Rampe, das Vorlesen einer Speisekarte oder ein ärztliches Aufklärungsgespräch in Leichter Sprache zumutbar und verhältnismäßig sind. Dies entspricht der UN-Behindertenrechtskonvention. Bauliche Veränderungen oder Anpassungen von Gütern und Dienstleistungen dürfen nicht pauschal als unzumutbar für Unternehmen gelten“, fordert Bentele.  </w:t>
      </w:r>
      <w:r>
        <w:rPr>
          <w:b/>
        </w:rPr>
        <w:t>Kristin Enge</w:t>
      </w:r>
    </w:p>
    <w:p w14:paraId="1BC40013" w14:textId="77777777" w:rsidR="00D56E61" w:rsidRDefault="000044CD">
      <w:pPr>
        <w:pStyle w:val="berschrift1"/>
      </w:pPr>
      <w:bookmarkStart w:id="2" w:name="_Toc227740039"/>
      <w:r>
        <w:t>Armut schränkt Teilhabe ein</w:t>
      </w:r>
      <w:bookmarkEnd w:id="2"/>
    </w:p>
    <w:p w14:paraId="4943A8DA" w14:textId="77777777" w:rsidR="00D56E61" w:rsidRDefault="000044CD">
      <w:pPr>
        <w:pStyle w:val="Standard-Fett"/>
      </w:pPr>
      <w:r>
        <w:t>Bericht zur Lage der älteren Generation im Bundestag debattiert</w:t>
      </w:r>
    </w:p>
    <w:p w14:paraId="43B185C4" w14:textId="77777777" w:rsidR="00D56E61" w:rsidRDefault="000044CD">
      <w:pPr>
        <w:pStyle w:val="Vorspann"/>
      </w:pPr>
      <w:r>
        <w:t>Kürzlich wurde im Bundestag der neunte Bericht zur Lage der älteren Generation beraten. Eine unabhängige Sachverständigenkommission stellte darin fest, dass Teilhabechancen in Deutschland ungleich verteilt sind und sprach Empfehlungen aus.</w:t>
      </w:r>
    </w:p>
    <w:p w14:paraId="0C65907D" w14:textId="77777777" w:rsidR="00D56E61" w:rsidRDefault="000044CD">
      <w:r>
        <w:t xml:space="preserve">Die Kommission fordert in ihrem Bericht „Alt werden in Deutschland – Vielfalt der Potenziale und Ungleichheit der Teilhabechancen“, die gesetzliche Rentenversicherung zu stärken. Armut sei ein wesentlicher Grund dafür, dass Teilhabemöglichkeiten für die ältere Generation in Deutschland begrenzt sind. </w:t>
      </w:r>
    </w:p>
    <w:p w14:paraId="2F64CE8C" w14:textId="77777777" w:rsidR="00D56E61" w:rsidRDefault="000044CD">
      <w:r>
        <w:t>Zwischen älteren Menschen gibt es hierzulande große Einkommensunterschiede. „Erhebliche Ungleichheiten zeigen sich zwischen Männern und Frauen, zwischen Menschen in westdeutschen und ostdeutschen Regionen sowie insbesondere zwischen Menschen mit und ohne Migrationshintergrund beziehungsweise mit und ohne deutsche Staatsbürgerschaft“, so die Sachverständigen.</w:t>
      </w:r>
    </w:p>
    <w:p w14:paraId="4954A11B" w14:textId="77777777" w:rsidR="00D56E61" w:rsidRDefault="000044CD">
      <w:pPr>
        <w:pStyle w:val="Zwischentitel"/>
      </w:pPr>
      <w:r>
        <w:t>Wachsende Armut</w:t>
      </w:r>
    </w:p>
    <w:p w14:paraId="4EB57741" w14:textId="77777777" w:rsidR="00D56E61" w:rsidRDefault="000044CD">
      <w:r>
        <w:t>Im Jahr 2024 waren über 19 Prozent der Personen ab 65 Jahren laut Statistischem Bundesamt armutsgefährdet. Zudem hat sich die Zahl der Empfängerinnen und Empfänger von Grundsicherung im Alter erhöht. Wie das Statistische Bundesamt mitteilte, erhielten Ende 2025 rund 764 000 Personen diese Leistung. Im Vergleich zum Vorjahr war dies ein Anstieg um 3,4 Prozent – und damit ein neuer Höchststand.</w:t>
      </w:r>
    </w:p>
    <w:p w14:paraId="22ACC86A" w14:textId="77777777" w:rsidR="00D56E61" w:rsidRDefault="000044CD">
      <w:r>
        <w:lastRenderedPageBreak/>
        <w:t xml:space="preserve">„Das ist besorgniserregend. Zudem liegt die Dunkelziffer vermutlich höher. Viele ältere Menschen scheuen den Gang zum Sozialamt und verzichten aus Scham, Angst oder Unwissenheit auf Grundsicherung im Alter, auch wenn sie einen Anspruch haben“, sagt VdK-Präsidentin Verena Bentele. </w:t>
      </w:r>
    </w:p>
    <w:p w14:paraId="59914F24" w14:textId="77777777" w:rsidR="00D56E61" w:rsidRDefault="000044CD">
      <w:r>
        <w:t xml:space="preserve">Die Sachverständigen gehen davon aus, dass sich das Risiko, im Alter arm zu sein, für bestimmte Bevölkerungsgruppen zukünftig erhöhen wird. Sie sprechen sich deshalb für ein Mindestrentenniveau aus. Dieses sollte Rentnerinnen und Rentnern eine angemessene Teilhabe ermöglichen und jüngeren Beitragszahlerinnen und -zahlern Sicherheit für ihre Lebensplanung bieten. Zudem müssten unterbrochene Erwerbsbiografien, niedrige lebensdurchschnittliche Verdienste durch Krankheit, Sorgetätigkeit oder Arbeitslosigkeit besser in der Rentenversicherung abgesichert werden. </w:t>
      </w:r>
    </w:p>
    <w:p w14:paraId="3696009B" w14:textId="77777777" w:rsidR="00D56E61" w:rsidRDefault="000044CD">
      <w:r>
        <w:t xml:space="preserve">Der Sozialverband VdK fordert eine auskömmliche Rente, die zuverlässig vor Altersarmut schützt. „Niemand sollte auf einen Minijob oder Grundsicherung angewiesen sein, weil die Rente nicht zum Leben reicht. Dafür muss das Rentenniveau langfristig auf 53 Prozent angehoben werden. Zur Finanzierung müssen mehr Gruppen in die Rentenkasse einzahlen, also alle Erwerbstätigen, Selbstständigen und perspektivisch auch Beamte“, fordert Bentele. </w:t>
      </w:r>
      <w:r>
        <w:rPr>
          <w:b/>
        </w:rPr>
        <w:t>Kristin Enge</w:t>
      </w:r>
    </w:p>
    <w:p w14:paraId="33A1FCB2" w14:textId="77777777" w:rsidR="00D56E61" w:rsidRDefault="000044CD">
      <w:pPr>
        <w:pStyle w:val="berschrift1"/>
      </w:pPr>
      <w:bookmarkStart w:id="3" w:name="_Toc227740040"/>
      <w:r>
        <w:t>VdK senkt Kosten</w:t>
      </w:r>
      <w:bookmarkEnd w:id="3"/>
    </w:p>
    <w:p w14:paraId="68680FF4" w14:textId="77777777" w:rsidR="00D56E61" w:rsidRDefault="000044CD">
      <w:pPr>
        <w:pStyle w:val="Standard-Fett"/>
      </w:pPr>
      <w:r>
        <w:t xml:space="preserve">Versand der Zeitung im Umschlag ist günstiger </w:t>
      </w:r>
    </w:p>
    <w:p w14:paraId="7B38F4EE" w14:textId="15461A97" w:rsidR="00D56E61" w:rsidRDefault="000044CD">
      <w:pPr>
        <w:pStyle w:val="Vorspann"/>
      </w:pPr>
      <w:r>
        <w:t>Viele Leserinnen und Leser äußern in Zuschriften an den Sozialverband VdK ihr Unverständnis darüber, dass die VdK-</w:t>
      </w:r>
      <w:r w:rsidR="00E4777B">
        <w:t>Zeitung</w:t>
      </w:r>
      <w:r>
        <w:t xml:space="preserve"> seit Anfang des Jahres in einem Umschlag verschickt wird. </w:t>
      </w:r>
    </w:p>
    <w:p w14:paraId="531940E0" w14:textId="77777777" w:rsidR="00D56E61" w:rsidRDefault="000044CD">
      <w:r>
        <w:t xml:space="preserve">In Zeiten, in denen der Umweltschutz immer wichtiger wird, ist schwer nachvollziehbar, dass der VdK den Versand der Zeitung in einem Umschlag eingeführt hat. Viele VdK-Mitglieder sehen den hohen Papierverbrauch kritisch. </w:t>
      </w:r>
    </w:p>
    <w:p w14:paraId="0ADAB94E" w14:textId="77777777" w:rsidR="00D56E61" w:rsidRDefault="000044CD">
      <w:r>
        <w:t>Der Hintergrund ist ein Beschluss, den der Bundesausschuss des VdK aus Kostengründen getroffen hat: Ein Versand der VdK-Zeitung in einem DIN-A4-Umschlag hilft dem VdK und seinen Landesverbänden, die immer stärker gestiegenen Portokosten erheblich zu reduzieren. Die Entscheidung hat dazu geführt, dass der VdK mit dem Zeitungsversand in eine viel günstigere Portokategorie der Deutschen Post wechseln konnte. Damit stellt der Verband einen verantwortungsvollen Umgang mit den Mitgliedsbeiträgen sicher und ermöglicht es gleichzeitig, die gedruckte Ausgabe trotz gestiegener Versand- und Herstellungskosten in hoher Qualität anzubieten.</w:t>
      </w:r>
    </w:p>
    <w:p w14:paraId="04039658" w14:textId="77777777" w:rsidR="00D56E61" w:rsidRDefault="000044CD">
      <w:pPr>
        <w:pStyle w:val="Zwischentitel"/>
      </w:pPr>
      <w:r>
        <w:t>Schnell und preiswerter</w:t>
      </w:r>
    </w:p>
    <w:p w14:paraId="18AB5981" w14:textId="77777777" w:rsidR="00D56E61" w:rsidRDefault="000044CD">
      <w:r>
        <w:t xml:space="preserve">Im Versand mit der Deutschen Post lässt sich ein Druckerzeugnis in einem Umschlag komplett maschinell und damit viel schneller und preiswerter sortieren als eine unverpackte Zeitung. </w:t>
      </w:r>
      <w:r>
        <w:lastRenderedPageBreak/>
        <w:t xml:space="preserve">Eine offene Zeitung ist in der Handhabung für die Post komplizierter und wird dadurch einer viel teureren Portokategorie zugeordnet.  </w:t>
      </w:r>
      <w:proofErr w:type="spellStart"/>
      <w:r>
        <w:rPr>
          <w:b/>
        </w:rPr>
        <w:t>juf</w:t>
      </w:r>
      <w:proofErr w:type="spellEnd"/>
    </w:p>
    <w:p w14:paraId="009571CC" w14:textId="3D76DF5C" w:rsidR="00D56E61" w:rsidRDefault="000044CD">
      <w:pPr>
        <w:pStyle w:val="berschrift1"/>
      </w:pPr>
      <w:bookmarkStart w:id="4" w:name="_Toc227740041"/>
      <w:r>
        <w:t>Mit Unterstützung</w:t>
      </w:r>
      <w:r w:rsidR="00E4777B">
        <w:t xml:space="preserve"> </w:t>
      </w:r>
      <w:r>
        <w:t>der Glücksspirale</w:t>
      </w:r>
      <w:bookmarkEnd w:id="4"/>
    </w:p>
    <w:p w14:paraId="003B60FA" w14:textId="77777777" w:rsidR="00D56E61" w:rsidRDefault="000044CD">
      <w:pPr>
        <w:pStyle w:val="Vorspann"/>
      </w:pPr>
      <w:r>
        <w:t>Dank einer Förderung durch die Glücksspirale konnte die VdK-Bundesgeschäftsstelle in Berlin ihre digitale Ausstattung gezielt modernisieren.</w:t>
      </w:r>
    </w:p>
    <w:p w14:paraId="0103FD57" w14:textId="77777777" w:rsidR="00D56E61" w:rsidRDefault="000044CD">
      <w:r>
        <w:t>Im Rahmen der Maßnahme wurden neue Notebooks sowie passende Docking-Stationen angeschafft, um eine leistungsstarke Arbeitsumgebung sicherzustellen.</w:t>
      </w:r>
    </w:p>
    <w:p w14:paraId="111A9928" w14:textId="77777777" w:rsidR="00D56E61" w:rsidRDefault="000044CD">
      <w:r>
        <w:t>Eine funktionale IT-Ausstattung ist heute die Grundlage, um die vielfältigen Leistungen für unsere VdK-Mitglieder zuverlässig erbringen zu können. Insbesondere im Bereich der politischen Interessenvertretung finden viele Termine mit Bundesministerien inzwischen in Form von Videokonferenzen statt. Eine zeitgemäße technische Infrastruktur ist daher unerlässlich, um weiterhin effektiv vernetzt zu bleiben.</w:t>
      </w:r>
    </w:p>
    <w:p w14:paraId="4472577D" w14:textId="77777777" w:rsidR="00D56E61" w:rsidRDefault="000044CD">
      <w:pPr>
        <w:pStyle w:val="Zwischentitel"/>
      </w:pPr>
      <w:r>
        <w:t>Austausch älterer Geräte</w:t>
      </w:r>
    </w:p>
    <w:p w14:paraId="719335F1" w14:textId="77777777" w:rsidR="00D56E61" w:rsidRDefault="000044CD">
      <w:r>
        <w:t>Auch im Hinblick auf das bevorstehende Ende des Supports des Betriebssystems Windows 10 war die Erneuerung notwendig. Nur durch den Austausch älterer Geräte kann die Umstellung auf Windows 11 erfolgen und ein sicherer sowie reibungsloser Arbeitsbetrieb gewährleistet werden.</w:t>
      </w:r>
    </w:p>
    <w:p w14:paraId="37894F18" w14:textId="77777777" w:rsidR="00D56E61" w:rsidRDefault="000044CD">
      <w:r>
        <w:t xml:space="preserve">Wir danken der Glücksspirale herzlich für die Unterstützung, die einen wichtigen Beitrag zur Zukunftsfähigkeit der Arbeit des Sozialverbands VdK Deutschland leistet. </w:t>
      </w:r>
      <w:r>
        <w:rPr>
          <w:b/>
        </w:rPr>
        <w:t xml:space="preserve">  cl</w:t>
      </w:r>
    </w:p>
    <w:p w14:paraId="29AC1EF7" w14:textId="77777777" w:rsidR="00D56E61" w:rsidRDefault="000044CD">
      <w:pPr>
        <w:pStyle w:val="berschrift1"/>
      </w:pPr>
      <w:bookmarkStart w:id="5" w:name="_Toc227740042"/>
      <w:r>
        <w:t>Mobilität ist Daseinsvorsorge</w:t>
      </w:r>
      <w:bookmarkEnd w:id="5"/>
    </w:p>
    <w:p w14:paraId="4B2CBC00" w14:textId="77777777" w:rsidR="00D56E61" w:rsidRDefault="000044CD">
      <w:pPr>
        <w:pStyle w:val="Standard-Fett"/>
      </w:pPr>
      <w:r>
        <w:t xml:space="preserve">VdK wirbt für sozialverträgliche Mobilitätswende </w:t>
      </w:r>
    </w:p>
    <w:p w14:paraId="0E3536C7" w14:textId="77777777" w:rsidR="00D56E61" w:rsidRDefault="000044CD">
      <w:pPr>
        <w:pStyle w:val="Vorspann"/>
      </w:pPr>
      <w:r>
        <w:t>Der Sozialverband VdK setzt sich als Teil des Bündnisses sozialverträgliche Mobilitätswende für eine flächendeckende, barrierefreie Mobilitätsgarantie für alle ein. Davon würden insbesondere Menschen mit einer Behinderung und Seniorinnen und Senioren sowie der ländliche Raum profitieren.</w:t>
      </w:r>
    </w:p>
    <w:p w14:paraId="2A831D8D" w14:textId="77777777" w:rsidR="00D56E61" w:rsidRDefault="000044CD">
      <w:r>
        <w:t xml:space="preserve">Das Bündnis sozialverträgliche Mobilitätswende bündelt die Expertise aus Gewerkschaften, Sozial-, Wohlfahrts- und Umweltverbänden sowie der Evangelischen Kirche in Deutschland, um die Transformation der Mobilität in Deutschland zu unterstützen. Es fordert eine verbindliche Mobilitätsgarantie, die faire Arbeitsbedingungen im öffentlichen Nahverkehr, den konsequenten Ausbau von Rad- und Fußverkehr sowie eine gesetzlich gesicherte Erreichbarkeit zentraler </w:t>
      </w:r>
      <w:r>
        <w:lastRenderedPageBreak/>
        <w:t>Einrichtungen umfasst. Dafür braucht es eine verlässliche, langfristige Finanzierung – für den ÖPNV ebenso wie für den Rad- und Fußverkehr. Nur so lassen sich Teilhabe und wirksamer Klimaschutz auch in ländlichen Regionen gewährleisten.</w:t>
      </w:r>
    </w:p>
    <w:p w14:paraId="031178FA" w14:textId="77777777" w:rsidR="00D56E61" w:rsidRDefault="000044CD">
      <w:pPr>
        <w:pStyle w:val="Zwischentitel"/>
      </w:pPr>
      <w:r>
        <w:t>In Stadt und Land</w:t>
      </w:r>
    </w:p>
    <w:p w14:paraId="505ABEA0" w14:textId="77777777" w:rsidR="00D56E61" w:rsidRDefault="000044CD">
      <w:r>
        <w:t xml:space="preserve">Mobilität ist nach Auffassung des Bündnisses Daseinsvorsorge und entscheidend für gleichwertige Lebensverhältnisse in Stadt und Land. Die Partner machen sich stark für einen gesicherten Zugang zu grundlegenden Versorgungsangeboten für alle Menschen. </w:t>
      </w:r>
    </w:p>
    <w:p w14:paraId="444FD59F" w14:textId="77777777" w:rsidR="00D56E61" w:rsidRDefault="000044CD">
      <w:r>
        <w:t>Wichtige Bausteine für eine bundesweite Mobilitätsgarantie sind verlässliche Takte, vollständig barrierefreie Angebote, wohnortnahe Grundversorgung sowie langfristige Finanzierung – nur so kann Mobilität für alle gesichert werden, heißt es im Positionspapier des Bündnisses.</w:t>
      </w:r>
    </w:p>
    <w:p w14:paraId="45C308E8" w14:textId="77777777" w:rsidR="00D56E61" w:rsidRDefault="000044CD">
      <w:r>
        <w:t xml:space="preserve">VdK-Präsidentin Verena Bentele erklärt dazu: „Es ist unverzichtbar, dass Einrichtungen wie Arztpraxen oder Supermärkte für alle unabhängig vom Wohnort und vom Geldbeutel erreichbar sind. Für viele Menschen, insbesondere Ältere, Menschen mit Behinderung und auf dem Land Lebende, ist das aber nicht der Fall.“  </w:t>
      </w:r>
      <w:r>
        <w:rPr>
          <w:b/>
        </w:rPr>
        <w:t>cis</w:t>
      </w:r>
      <w:r>
        <w:t xml:space="preserve"> </w:t>
      </w:r>
    </w:p>
    <w:p w14:paraId="47C14619" w14:textId="3426149B" w:rsidR="00D56E61" w:rsidRDefault="00E4777B">
      <w:pPr>
        <w:pStyle w:val="berschrift1"/>
      </w:pPr>
      <w:bookmarkStart w:id="6" w:name="_Toc227740043"/>
      <w:r>
        <w:t xml:space="preserve">Kommentar: </w:t>
      </w:r>
      <w:r w:rsidR="000044CD">
        <w:t>Zuckersüße Gefahr</w:t>
      </w:r>
      <w:bookmarkEnd w:id="6"/>
    </w:p>
    <w:p w14:paraId="5CAB0532" w14:textId="77777777" w:rsidR="00D56E61" w:rsidRDefault="000044CD">
      <w:r>
        <w:t xml:space="preserve">Zuckerkonsum in Deutschland ist kein harmloses Alltagsphänomen, sondern ein ernstes gesellschaftliches Problem. Besonders besorgniserregend: Kinder greifen </w:t>
      </w:r>
      <w:proofErr w:type="gramStart"/>
      <w:r>
        <w:t>immer häufiger zu stark gezuckerten Getränken</w:t>
      </w:r>
      <w:proofErr w:type="gramEnd"/>
      <w:r>
        <w:t>, als wären Limonaden Teil der Grundversorgung. Schon heute ist jedes sechste Kind stark übergewichtig. Gleichzeitig entstehen laut Berechnungen der Leopoldina jährlich gesellschaftliche Kosten infolge von Adipositas und Übergewicht von rund 113 Milliarden Euro – etwa 2,6 Prozent des Bruttoinlandsprodukts.</w:t>
      </w:r>
    </w:p>
    <w:p w14:paraId="27F34062" w14:textId="77777777" w:rsidR="00D56E61" w:rsidRDefault="000044CD">
      <w:r>
        <w:t>2024 wurden in Deutschland 7,7 Milliarden Liter zuckerhaltige Erfrischungsgetränke produziert, knapp 93 Liter pro Kopf. In einem halben Liter stecken im Schnitt 60 Gramm Zucker – mehr als die empfohlene Tageshöchstmenge für Erwachsene. Kinder sollten an solche Mengen gar nicht erst gewöhnt werden. Die Folgen reichen von kurzfristigen Beschwerden wie Nervosität bis hin zu langfristigen Erkrankungen wie Diabetes Typ 2, Bluthochdruck und Herzproblemen.</w:t>
      </w:r>
    </w:p>
    <w:p w14:paraId="39F9B4B0" w14:textId="77777777" w:rsidR="00D56E61" w:rsidRDefault="000044CD">
      <w:r>
        <w:t>Die gesetzlichen Krankenversicherungen stehen unter wachsendem Druck, da ein erheblicher Teil der Kosten auf ernährungsbedingte Krankheiten zurückzuführen ist. Es entsteht ein Teufelskreis: Ungesunde Ernährung macht krank, Krankheiten verursachen Kosten – und die trägt die Allgemeinheit.</w:t>
      </w:r>
    </w:p>
    <w:p w14:paraId="3B95898C" w14:textId="77777777" w:rsidR="00D56E61" w:rsidRDefault="000044CD">
      <w:r>
        <w:t>Eine Steuer auf stark zuckerhaltige Getränke wäre deshalb ein sinnvoller und überfälliger Schritt. Erfahrungen aus anderen Ländern zeigen, dass schon moderate Preissteigerungen den Konsum senken und Hersteller dazu bewegen, den Zuckergehalt zu reduzieren. Kritiker sehen darin Bevormundung – doch tatsächlich geht es um faire Rahmenbedingungen. Wenn ungesunde Produkte überall verfügbar und oft günstiger sind als gesunde Alternativen, ist das kein freier Markt, sondern ein strukturelles Ungleichgewicht.</w:t>
      </w:r>
    </w:p>
    <w:p w14:paraId="72CA8FE1" w14:textId="05AFD046" w:rsidR="00D56E61" w:rsidRPr="00E4777B" w:rsidRDefault="000044CD">
      <w:pPr>
        <w:rPr>
          <w:b/>
          <w:bCs/>
        </w:rPr>
      </w:pPr>
      <w:r>
        <w:lastRenderedPageBreak/>
        <w:t>Eine Zuckersteuer ist kein Allheilmittel, aber ein wichtiges Signal: Gesundheit, insbesondere die von Kindern, darf nicht dem Markt überlassen bleiben. Sie schützt die Menschen und das Gesundheitssystem und hilft, gesündere Entscheidungen zu treffen.</w:t>
      </w:r>
      <w:r w:rsidR="00E4777B">
        <w:t xml:space="preserve"> </w:t>
      </w:r>
      <w:r w:rsidR="00E4777B" w:rsidRPr="00E4777B">
        <w:rPr>
          <w:b/>
          <w:bCs/>
        </w:rPr>
        <w:t>Verena Bentele, VdK-Präsidentin</w:t>
      </w:r>
    </w:p>
    <w:p w14:paraId="5FFEAAA4" w14:textId="77777777" w:rsidR="00D56E61" w:rsidRDefault="000044CD">
      <w:pPr>
        <w:pStyle w:val="berschrift1"/>
      </w:pPr>
      <w:bookmarkStart w:id="7" w:name="_Toc227740044"/>
      <w:r>
        <w:t>Große Verantwortung auf jungen Schultern</w:t>
      </w:r>
      <w:bookmarkEnd w:id="7"/>
    </w:p>
    <w:p w14:paraId="47E531D1" w14:textId="77777777" w:rsidR="00D56E61" w:rsidRDefault="000044CD">
      <w:pPr>
        <w:pStyle w:val="Standard-Fett"/>
      </w:pPr>
      <w:r>
        <w:t>Das Projekt Windschatten in Berlin widmet sich jungen Menschen, die zu Hause Angehörige pflegen</w:t>
      </w:r>
    </w:p>
    <w:p w14:paraId="3EB4E968" w14:textId="77777777" w:rsidR="00D56E61" w:rsidRDefault="000044CD">
      <w:pPr>
        <w:pStyle w:val="Vorspann"/>
      </w:pPr>
      <w:r>
        <w:t>Rund 480 000 Kinder und Jugendliche sind in Deutschland in die Pflege von Familienangehörigen eingebunden. Von der Öffentlichkeit weitgehend unbemerkt, tragen sie in jungen Jahren eine große Verantwortung. In dem Projekt Windschatten finden sie Entlastung, Akzeptanz und ein offenes Ohr für ihre Probleme</w:t>
      </w:r>
    </w:p>
    <w:p w14:paraId="3D6B0363" w14:textId="77777777" w:rsidR="00D56E61" w:rsidRDefault="000044CD">
      <w:r>
        <w:t xml:space="preserve">Bunte Bilder an den Wänden, ein Tischkicker und eine kuschelige Sofaecke – das Young </w:t>
      </w:r>
      <w:proofErr w:type="spellStart"/>
      <w:r>
        <w:t>Carer</w:t>
      </w:r>
      <w:proofErr w:type="spellEnd"/>
      <w:r>
        <w:t xml:space="preserve"> Zentrum in Berlin-Moabit sieht aus, wie man sich ein Jugendzentrum vorstellt. In den Räumen treffen sich Kinder und Jugendliche zwischen sechs und 21 Jahren, kochen und essen zusammen, sehen sich Filme an, basteln oder veranstalten Spieleabende. Die Angebote variieren und sind abgestimmt auf die Altersgruppen sechs bis elf Jahre, zwölf bis 15 sowie 16 bis 21 Jahre. Allen Teilnehmerinnen und Teilnehmern ist gemeinsam, dass sie zu Hause Verantwortung für ein Familienmitglied mit einer schweren Erkrankung oder einer Behinderung übernehmen und sich in den Pflegealltag einbringen. Das macht sie zu sogenannten Young </w:t>
      </w:r>
      <w:proofErr w:type="spellStart"/>
      <w:r>
        <w:t>Carers</w:t>
      </w:r>
      <w:proofErr w:type="spellEnd"/>
      <w:r>
        <w:t xml:space="preserve">. Der englische Begriff hat sich in diesem Zusammenhang etabliert und lässt sich am ehesten übersetzen mit „junge Pflegende“. Das Young </w:t>
      </w:r>
      <w:proofErr w:type="spellStart"/>
      <w:r>
        <w:t>Carer</w:t>
      </w:r>
      <w:proofErr w:type="spellEnd"/>
      <w:r>
        <w:t xml:space="preserve"> Zentrum in Berlin ist Teil des Projekts Windschatten, das im Jahr 2021 bei der Ernst-Freiberger-Stiftung entstand und bundesweit einmalig ist. </w:t>
      </w:r>
    </w:p>
    <w:p w14:paraId="4D6DC72E" w14:textId="77777777" w:rsidR="00D56E61" w:rsidRDefault="000044CD">
      <w:r>
        <w:t>Ziel von Windschatten ist es, Familien dabei zu unterstützen, trotz Krankheit oder Behinderung ein möglichst normales Familienleben führen zu können. „Der Fokus liegt dabei auf der Entlastung und Förderung dieser jungen Menschen“, sagt Benjamin Salzmann. Der 39-jährige Sozialarbeiter leitet das Projekt zusammen mit drei Kolleginnen.</w:t>
      </w:r>
    </w:p>
    <w:p w14:paraId="077EFDDD" w14:textId="77777777" w:rsidR="00D56E61" w:rsidRDefault="000044CD">
      <w:pPr>
        <w:pStyle w:val="Zwischentitel"/>
      </w:pPr>
      <w:r>
        <w:t>Eigene Lebenswelt</w:t>
      </w:r>
    </w:p>
    <w:p w14:paraId="2DDDCC12" w14:textId="77777777" w:rsidR="00D56E61" w:rsidRDefault="000044CD">
      <w:r>
        <w:t xml:space="preserve">Eine, die regelmäßig an den Veranstaltungen von Windschatten teilnimmt, ist die 13-jährige Sophie aus Berlin. Ihre Mutter ist an Krebs erkrankt. Die Chemotherapie kostet sie viel Kraft, und sie ist oft müde. Sophie macht morgens das Frühstück für die fünf und zehn Jahre alten Geschwister, erledigt die Einkäufe, hilft ihrer Mutter beim An- und Ausziehen und begleitet sie ins Krankenhaus oder zum Arzt. Zu Beginn der Krebsbehandlung erhielt die Familie noch Unterstützung durch eine Haushaltshilfe. Der Anspruch lief aber nach wenigen Wochen aus, </w:t>
      </w:r>
      <w:r>
        <w:lastRenderedPageBreak/>
        <w:t xml:space="preserve">sodass Sophie zu Hause weitere Aufgaben übernehmen musste. Sie trifft sich kaum noch mit Freundinnen und Freunden. Ihre Gedanken kreisen mittlerweile um ganz andere Themen als die von Gleichaltrigen. Sie denkt viel über Krankheit, Tod und die Zukunft nach. </w:t>
      </w:r>
    </w:p>
    <w:p w14:paraId="30EA9EA3" w14:textId="77777777" w:rsidR="00D56E61" w:rsidRDefault="000044CD">
      <w:r>
        <w:t>Der Kontakt zwischen Sophie beziehungsweise ihrer Mutter und Windschatten ist über die Berliner Krebshilfe entstanden, mit der das Projekt eng zusammenarbeitet. Die 13-Jährige kommt nun regelmäßig ins Zentrum und fühlt sich dort wohl und akzeptiert. Dienstags und mittwochs werden dort immer Aktivitäten angeboten. In den Schulferien stehen oft Ausflüge auf dem Programm.</w:t>
      </w:r>
    </w:p>
    <w:p w14:paraId="33D4B3B9" w14:textId="77777777" w:rsidR="00D56E61" w:rsidRDefault="000044CD">
      <w:pPr>
        <w:pStyle w:val="Zwischentitel"/>
      </w:pPr>
      <w:r>
        <w:t>Scham und Rückzug</w:t>
      </w:r>
    </w:p>
    <w:p w14:paraId="01FF9840" w14:textId="77777777" w:rsidR="00D56E61" w:rsidRDefault="000044CD">
      <w:r>
        <w:t xml:space="preserve">Es gibt in Deutschland viele Heranwachsende, die in einer ähnlichen Situation sind wie Sophie – die jedoch von der Öffentlichkeit kaum wahrgenommen werden. „20 Prozent aller Kinder und Jugendlichen in Deutschland leben mit einem chronisch erkrankten oder behinderten Familienmitglied“, erklärt Salzmann. „Rund zwei Drittel von ihnen übernehmen in diesen Haushalten als Young </w:t>
      </w:r>
      <w:proofErr w:type="spellStart"/>
      <w:r>
        <w:t>Carer</w:t>
      </w:r>
      <w:proofErr w:type="spellEnd"/>
      <w:r>
        <w:t xml:space="preserve"> Verantwortung.“ Dass diese Zahl kaum bekannt ist, liegt auch daran, dass Betroffene ungern über ihre häusliche Situation sprechen. „Gerade junge Menschen, die ein Familienmitglied mit einer schweren Behinderung oder einer chronischen Erkrankung haben, empfinden nicht selten Scham und ziehen sich zurück.“ </w:t>
      </w:r>
    </w:p>
    <w:p w14:paraId="45809323" w14:textId="77777777" w:rsidR="00D56E61" w:rsidRDefault="000044CD">
      <w:r>
        <w:t xml:space="preserve">So wie der elfjährige Leon. Er hat einen zwei Jahre älteren Bruder, der aufgrund einer starken Entwicklungsverzögerung im Rollstuhl sitzt. Das Sprechen fällt ihm sehr schwer. Leon hilft ihm zu Hause, reicht Essen an, beschäftigt sich mit ihm. Das macht er gern. Dennoch ist es ihm unangenehm, wenn er mit seiner Familie unterwegs ist und sein Bruder in der Öffentlichkeit auffällt und für neugierige Blicke sorgt. Zu Hause steht sein Bruder im Mittelpunkt, weil er rund um die Uhr Betreuung benötigt. Die Eltern haben ihre Erwerbstätigkeit reduziert, um mehr Zeit für ihn zu haben. Der Urlaub fällt meistens ins Wasser, aus finanziellen Gründen, aber auch, weil es in vielen Unterkünften an Barrierefreiheit mangelt. </w:t>
      </w:r>
    </w:p>
    <w:p w14:paraId="70996EEB" w14:textId="77777777" w:rsidR="00D56E61" w:rsidRDefault="000044CD">
      <w:r>
        <w:t xml:space="preserve">Sophie und Leon, deren Namen in diesem Artikel geändert wurden, sind zwei Beispiele von den rund 300 Kindern und Jugendlichen, die Windschatten mit seinen Angeboten bereits erreichen konnte. Ein Drittel von ihnen kommt regelmäßig ins Young </w:t>
      </w:r>
      <w:proofErr w:type="spellStart"/>
      <w:r>
        <w:t>Carer</w:t>
      </w:r>
      <w:proofErr w:type="spellEnd"/>
      <w:r>
        <w:t xml:space="preserve"> Zentrum, berichtet Salzmann.</w:t>
      </w:r>
    </w:p>
    <w:p w14:paraId="49412FF9" w14:textId="77777777" w:rsidR="00D56E61" w:rsidRDefault="000044CD">
      <w:r>
        <w:t>Beim Projekt Windschatten hat Leon die Möglichkeit, eine finanzielle Unterstützung etwa für den Sportverein, Nachhilfeunterricht oder für die Veranstaltung einer Geburtstagsfeier zu erhalten. Die Stiftung vergibt darüber hinaus für ein Jahr monatliche Taschengeldstipendien. Ein Einkommensnachweis der Eltern ist dafür nicht erforderlich. Voraussetzung ist, dass die Person zwischen elf und 18 Jahre alt ist und in Berlin oder dem Umland wohnt. Um an den Aktivitäten von Windschatten teilnehmen zu können, müssen die Heranwachsenden lediglich einen Nachweis über die Krankheit oder Behinderung der gepflegten Angehörigen erbringen.</w:t>
      </w:r>
    </w:p>
    <w:p w14:paraId="64DA2E02" w14:textId="77777777" w:rsidR="00D56E61" w:rsidRDefault="000044CD">
      <w:pPr>
        <w:pStyle w:val="Zwischentitel"/>
      </w:pPr>
      <w:r>
        <w:t xml:space="preserve">Young </w:t>
      </w:r>
      <w:proofErr w:type="spellStart"/>
      <w:r>
        <w:t>Carer</w:t>
      </w:r>
      <w:proofErr w:type="spellEnd"/>
      <w:r>
        <w:t xml:space="preserve"> im Blick</w:t>
      </w:r>
    </w:p>
    <w:p w14:paraId="2123F8AA" w14:textId="77777777" w:rsidR="00D56E61" w:rsidRDefault="000044CD">
      <w:r>
        <w:t xml:space="preserve">Die Pflegewissenschaftlerin Professorin Sabine </w:t>
      </w:r>
      <w:proofErr w:type="spellStart"/>
      <w:r>
        <w:t>Metzing</w:t>
      </w:r>
      <w:proofErr w:type="spellEnd"/>
      <w:r>
        <w:t xml:space="preserve"> ist eine der wenigen in Deutschland, die die Gruppe der Young </w:t>
      </w:r>
      <w:proofErr w:type="spellStart"/>
      <w:r>
        <w:t>Carer</w:t>
      </w:r>
      <w:proofErr w:type="spellEnd"/>
      <w:r>
        <w:t xml:space="preserve"> genauer in den Blick genommen hat. In der Studie „Die Situation von Kindern und Jugendlichen als pflegende Angehörige“, die vor acht Jahren erschien und vom Bundesgesundheitsministerium gefördert wurde, kam sie zu interessanten Ergebnissen. 64 Prozent der Young </w:t>
      </w:r>
      <w:proofErr w:type="spellStart"/>
      <w:r>
        <w:t>Carer</w:t>
      </w:r>
      <w:proofErr w:type="spellEnd"/>
      <w:r>
        <w:t xml:space="preserve"> waren demzufolge Mädchen. Am häufigsten kümmerten sie sich um ihre Großeltern (33 Prozent), gefolgt von Mutter und Geschwistern (je 24 Prozent). Bei den </w:t>
      </w:r>
      <w:r>
        <w:lastRenderedPageBreak/>
        <w:t>Pflegebedürftigen stehen chronische körperliche Erkrankungen an erster Stelle (38 Prozent), es folgen neurologische Erkrankungen (23 Prozent), Behinderungen (15 Prozent), Krebs (zwölf Prozent) und psychische Erkrankungen (fünf Prozent). Die geringe Zahl an psychischen Erkrankungen führt die Studienleiterin darauf zurück, dass die befragten Schülerinnen und Schüler bei ihren Angaben eher die körperlichen Symptome in den Vordergrund stellen.</w:t>
      </w:r>
    </w:p>
    <w:p w14:paraId="7C0767D9" w14:textId="77777777" w:rsidR="00D56E61" w:rsidRDefault="000044CD">
      <w:r>
        <w:t xml:space="preserve">Die meisten jungen Pflegenden helfen im Haushalt (82 Prozent), bei der Mobilität (72 Prozent), beim An- und Ausziehen (40 Prozent), der Medikamentengabe (32 Prozent), der Nahrungsaufnahme (32 Prozent), der Körperpflege (25 Prozent) und sogar bei der Intim- pflege (elf Prozent). Die Studie kam außerdem zum Ergebnis, dass junge Pflegende ihre Lebensqualität deutlich schlechter einschätzen als andere Jugendliche. Die Unterstützung pflegebedürftiger Angehöriger belastet viele junge Menschen emotional und psychisch. Beim Projekt „Windschatten“ können sie darüber reden. Außer dem vierköpfigen Team, das neben Salzmann aus drei Sozialarbeiterinnen besteht, ist eine ehrenamtliche Psychotherapeutin eingebunden. </w:t>
      </w:r>
    </w:p>
    <w:p w14:paraId="4327E4B8" w14:textId="77777777" w:rsidR="00D56E61" w:rsidRDefault="000044CD">
      <w:r>
        <w:t xml:space="preserve">Ein weiteres Unterstützungsangebot steht mit der Initiative „Pausentaste“ zur Verfügung. Auf der Webseite gibt es Tipps für Young </w:t>
      </w:r>
      <w:proofErr w:type="spellStart"/>
      <w:r>
        <w:t>Carer</w:t>
      </w:r>
      <w:proofErr w:type="spellEnd"/>
      <w:r>
        <w:t xml:space="preserve"> zur Bewältigung ihres Alltags. Zudem sind anonyme Beratungen per Telefon (116 111) oder online möglich.</w:t>
      </w:r>
    </w:p>
    <w:p w14:paraId="6C7E4E78" w14:textId="77777777" w:rsidR="00D56E61" w:rsidRDefault="000044CD">
      <w:pPr>
        <w:pStyle w:val="Zwischentitel"/>
      </w:pPr>
      <w:r>
        <w:t>Noch viel zu tun</w:t>
      </w:r>
    </w:p>
    <w:p w14:paraId="44953373" w14:textId="77777777" w:rsidR="00D56E61" w:rsidRDefault="000044CD">
      <w:r>
        <w:t xml:space="preserve">Beratungsgespräche bietet Windschatten auch für erwachsene Familienangehörige an. Doch </w:t>
      </w:r>
      <w:proofErr w:type="gramStart"/>
      <w:r>
        <w:t>während Erwachsene</w:t>
      </w:r>
      <w:proofErr w:type="gramEnd"/>
      <w:r>
        <w:t xml:space="preserve">, die Angehörige pflegen oder die in einer Pflegesituation sind, mittlerweile auf ein breites Unterstützungs- und Betreuungsangebot zurückgreifen können, besteht bei Kindern und Jugendlichen mit Pflegeverantwortung noch Nachholbedarf. </w:t>
      </w:r>
    </w:p>
    <w:p w14:paraId="2AE3A54F" w14:textId="589E0735" w:rsidR="00D56E61" w:rsidRDefault="000044CD">
      <w:r>
        <w:t xml:space="preserve">Die geringe Unterstützung liegt zum einen daran, dass die Belastungen junger Pflegender in Politik und Gesellschaft noch nicht so bekannt sind. Zum anderen ist sie aber auch der Tatsache geschuldet, dass gezielte Hilfe sehr kompliziert ist. „Die Unterstützung für Young </w:t>
      </w:r>
      <w:proofErr w:type="spellStart"/>
      <w:r>
        <w:t>Carer</w:t>
      </w:r>
      <w:proofErr w:type="spellEnd"/>
      <w:r>
        <w:t xml:space="preserve"> ist im deutschen Sozialrecht nicht in einem Gesetz gebündelt, sondern ergibt sich aus dem Zusammenspiel von mehreren Sozialgesetzbücher. Die Kompetenzen sind verteilt. Das führt zu Bürokratie und Versorgungslücken“, erklärt Salzmann. </w:t>
      </w:r>
    </w:p>
    <w:p w14:paraId="7A499C11" w14:textId="77777777" w:rsidR="00D56E61" w:rsidRDefault="000044CD">
      <w:r>
        <w:t xml:space="preserve">Wichtige Impulse erhofft sich der 39-Jährige, von der im Herbst stattfinden 5. Internationalen Young </w:t>
      </w:r>
      <w:proofErr w:type="spellStart"/>
      <w:r>
        <w:t>Carers</w:t>
      </w:r>
      <w:proofErr w:type="spellEnd"/>
      <w:r>
        <w:t xml:space="preserve"> Konferenz, die in diesem Jahr am 21. und 22. Oktober in Berlin veranstaltet wird und unter anderem von der Ernst-Freiberger- Stiftung organisiert wird. „Wir gehen von rund 250 Teilnehmenden aus ganz Europa, Asien, Nordamerika und Afrika aus, die über Lösungen diskutieren, wie junge Pflegende besser unterstützt werden können“, sagt Salzmann. Er hofft </w:t>
      </w:r>
      <w:proofErr w:type="gramStart"/>
      <w:r>
        <w:t>auf spannende</w:t>
      </w:r>
      <w:proofErr w:type="gramEnd"/>
      <w:r>
        <w:t xml:space="preserve"> Anregungen und erwartet, dass die Konferenz auch von der Politik hierzulande wahrgenommen wird – damit die Belange der Young </w:t>
      </w:r>
      <w:proofErr w:type="spellStart"/>
      <w:r>
        <w:t>Carer</w:t>
      </w:r>
      <w:proofErr w:type="spellEnd"/>
      <w:r>
        <w:t xml:space="preserve"> mehr Beachtung finden. </w:t>
      </w:r>
      <w:r>
        <w:rPr>
          <w:b/>
        </w:rPr>
        <w:t>Jörg Ciszewski</w:t>
      </w:r>
    </w:p>
    <w:p w14:paraId="7BC91247" w14:textId="0442F740" w:rsidR="00D56E61" w:rsidRDefault="00E3794A">
      <w:hyperlink r:id="rId8">
        <w:r w:rsidR="000044CD">
          <w:rPr>
            <w:color w:val="0015B7"/>
          </w:rPr>
          <w:t>www.pausentaste.de</w:t>
        </w:r>
      </w:hyperlink>
    </w:p>
    <w:p w14:paraId="6BCF3470" w14:textId="77777777" w:rsidR="00D56E61" w:rsidRDefault="000044CD">
      <w:pPr>
        <w:pStyle w:val="berschrift1"/>
      </w:pPr>
      <w:bookmarkStart w:id="8" w:name="_Toc227740045"/>
      <w:r>
        <w:lastRenderedPageBreak/>
        <w:t>Altersvorsorge mit staatlicher Hilfe</w:t>
      </w:r>
      <w:bookmarkEnd w:id="8"/>
    </w:p>
    <w:p w14:paraId="071B9644" w14:textId="77777777" w:rsidR="00D56E61" w:rsidRDefault="000044CD">
      <w:pPr>
        <w:pStyle w:val="Standard-Fett"/>
      </w:pPr>
      <w:r>
        <w:t>Reform der Riester-Rente soll zusätzliche private Vorsorge attraktiver machen – VdK sieht aber auch Verschlechterungen</w:t>
      </w:r>
    </w:p>
    <w:p w14:paraId="48605FA2" w14:textId="77777777" w:rsidR="00D56E61" w:rsidRDefault="000044CD">
      <w:pPr>
        <w:pStyle w:val="Vorspann"/>
      </w:pPr>
      <w:r>
        <w:t>Die Riester-Rente gilt als kompliziert, teuer und unrentabel. Nun soll ein staatliches Altersvorsorgedepot die private Vorsorge ab dem Jahr 2027 neu ordnen. Der Sozialverband VdK bewertet die Pläne.</w:t>
      </w:r>
    </w:p>
    <w:p w14:paraId="344194C8" w14:textId="77777777" w:rsidR="00D56E61" w:rsidRDefault="000044CD">
      <w:r>
        <w:t xml:space="preserve">Aktuell verfügt gerade einmal die Hälfte der sozialversicherungspflichtig Beschäftigten über eine betriebliche Altersvorsorge. Und noch weniger – nur 27 Prozent – besparen einen Riester-Vertrag. Für viele von ihnen wird sich das im Alter kaum lohnen. Manche Sparerin und mancher Sparer </w:t>
      </w:r>
      <w:proofErr w:type="gramStart"/>
      <w:r>
        <w:t>müsste</w:t>
      </w:r>
      <w:proofErr w:type="gramEnd"/>
      <w:r>
        <w:t xml:space="preserve"> 95 Jahre oder älter werden, um die eingezahlten Beiträge zurückbekommen. </w:t>
      </w:r>
    </w:p>
    <w:p w14:paraId="52F588B5" w14:textId="77777777" w:rsidR="00D56E61" w:rsidRDefault="000044CD">
      <w:r>
        <w:t xml:space="preserve">Dagegen profitiert die Versicherungswirtschaft: Die Kosten für Vertrieb, Abschluss, Vertragswechsel, Auszahlung und Verwaltung sichern den Unternehmen bis heute hohe Renditen. </w:t>
      </w:r>
    </w:p>
    <w:p w14:paraId="308A6F9B" w14:textId="77777777" w:rsidR="00D56E61" w:rsidRDefault="000044CD">
      <w:pPr>
        <w:pStyle w:val="Zwischentitel"/>
      </w:pPr>
      <w:r>
        <w:t>Private Vorsorge</w:t>
      </w:r>
    </w:p>
    <w:p w14:paraId="49E85DB5" w14:textId="77777777" w:rsidR="00D56E61" w:rsidRDefault="000044CD">
      <w:r>
        <w:t xml:space="preserve">Fast 40 Prozent der sozialversicherungspflichtig Beschäftigten sind im Alter allein auf die gesetzliche Rente angewiesen. Besonders hoch ist der Anteil unter jenen mit einem geringen Einkommen: Mehr als die Hälfte der Beschäftigten, die brutto bis zu 2500 Euro pro Monat verdienen, muss sich ausschließlich auf die gesetzliche Rente verlassen. </w:t>
      </w:r>
    </w:p>
    <w:p w14:paraId="725FBEC5" w14:textId="77777777" w:rsidR="00D56E61" w:rsidRDefault="000044CD">
      <w:r>
        <w:t xml:space="preserve">Mit der Reform der privaten Altersvorsorge soll nun ein Neustart gelingen. Neben einem Kostendeckel von einem Prozent ist vorgesehen, dass der Staat selbst ein neues Altersvorsorgeprodukt anbietet. </w:t>
      </w:r>
    </w:p>
    <w:p w14:paraId="5E26797C" w14:textId="77777777" w:rsidR="00D56E61" w:rsidRDefault="000044CD">
      <w:r>
        <w:t xml:space="preserve">Verbraucherschützerinnen und -schützer hoffen auf ein transparentes und kostengünstiges Angebot, das sich stärker an den Interessen der Versicherten orientiert. Viele Details sind aber noch offen. </w:t>
      </w:r>
    </w:p>
    <w:p w14:paraId="050F75DF" w14:textId="77777777" w:rsidR="00D56E61" w:rsidRDefault="000044CD">
      <w:r>
        <w:t xml:space="preserve">Fest steht: Das sogenannte Altersvorsorgedepot wird Anfang des Jahres 2027 an den Start gehen. Die Kinderzulagen sollen verbessert und die staatliche Förderung künftig stärker an die Höhe der eigenen Beiträge gekoppelt werden. </w:t>
      </w:r>
    </w:p>
    <w:p w14:paraId="3D29AE19" w14:textId="77777777" w:rsidR="00D56E61" w:rsidRDefault="000044CD">
      <w:pPr>
        <w:pStyle w:val="Zwischentitel"/>
      </w:pPr>
      <w:r>
        <w:t>Nicht besser als Riester</w:t>
      </w:r>
    </w:p>
    <w:p w14:paraId="0308D6DE" w14:textId="77777777" w:rsidR="00D56E61" w:rsidRDefault="000044CD">
      <w:r>
        <w:t xml:space="preserve">Doch der VdK sieht auch Verschlechterungen: Risiken wie Erwerbsminderung oder Todesfall sollen über das Altersvorsorgedepot nicht mehr abgesichert werden. Es sieht eine Rentengarantiezeit von zehn oder 20 Jahren vor, unabhängig davon, ob die versicherte Person noch lebt. Auch die Kombination von betrieblicher Altersvorsorge und </w:t>
      </w:r>
      <w:r>
        <w:lastRenderedPageBreak/>
        <w:t xml:space="preserve">Erwerbsminderungsschutz über die staatliche Riester-Förderung entfällt. „Das sind problematische Rückschritte“, stellt VdK-Präsidentin Verena Bentele fest. </w:t>
      </w:r>
    </w:p>
    <w:p w14:paraId="0527B7B4" w14:textId="77777777" w:rsidR="00D56E61" w:rsidRDefault="000044CD">
      <w:r>
        <w:t xml:space="preserve">Ein zentraler Kritikpunkt des VdK bleibt, dass sich viele Geringverdienende eine zusätzliche private Altersvorsorge nicht leisten können – unabhängig vom Modell. Für sie ist die gesetzliche Rente im Alter unverzichtbar. Diese muss deshalb stabilisiert, aber besser noch gezielt ausgebaut werden. </w:t>
      </w:r>
    </w:p>
    <w:p w14:paraId="5FBF1895" w14:textId="77777777" w:rsidR="00D56E61" w:rsidRDefault="000044CD">
      <w:r>
        <w:t xml:space="preserve">„Die gesetzliche Rente hat große Stärken“, ist Bentele überzeugt. „Denn sie belohnt Kindererziehung und Angehörigenpflege. Mit dem Grundrentenzuschlag stärkt sie gezielt jene, die mindestens 33 Jahre im Niedriglohnsektor gearbeitet haben.“ </w:t>
      </w:r>
    </w:p>
    <w:p w14:paraId="411EF2B2" w14:textId="77777777" w:rsidR="00D56E61" w:rsidRDefault="000044CD">
      <w:pPr>
        <w:pStyle w:val="Zwischentitel"/>
      </w:pPr>
      <w:r>
        <w:t>Gesetzliche Rente</w:t>
      </w:r>
    </w:p>
    <w:p w14:paraId="5B517AC4" w14:textId="77777777" w:rsidR="00D56E61" w:rsidRDefault="000044CD">
      <w:r>
        <w:t xml:space="preserve">Im Unterschied zur privaten Vorsorge wird die gesetzliche Rente paritätisch finanziert. Sie schützt umfassend bei Erwerbsminderung und bietet nützliche Reha-Leistungen. Hinterbliebene erhalten einen zwar eingeschränkten, aber verlässlichen Unterhalt. Vor allem aber werden gesetzliche Renten jährlich angepasst und schützen so vor Kaufkraftverlusten. </w:t>
      </w:r>
    </w:p>
    <w:p w14:paraId="5FDFA4D1" w14:textId="77777777" w:rsidR="00D56E61" w:rsidRDefault="000044CD">
      <w:r>
        <w:t xml:space="preserve">„Die gesetzliche Rente muss das Fundament für ein auskömmliches Leben im Alter bleiben“, fordert Bentele. Private Vorsorge kann sie sinnvoll ergänzen, aber nicht ersetzen. „Die Potenziale des Arbeitsmarkts lassen sich stärker ausschöpfen, um die gesetzliche Rente zu stärken, etwa mit höheren Löhnen und mehr guter, sozialversicherungspflichtiger Beschäftigung. Und wenn noch mehr Erwerbstätige in die Rentenversicherung einzahlen, kann das System langfristig gerecht und stabil eine Rente für alle sichern“, sagt Bentele. </w:t>
      </w:r>
      <w:r>
        <w:rPr>
          <w:b/>
        </w:rPr>
        <w:t>Kristin Enge</w:t>
      </w:r>
    </w:p>
    <w:p w14:paraId="21C2CA2F" w14:textId="77777777" w:rsidR="00D56E61" w:rsidRDefault="000044CD">
      <w:pPr>
        <w:pStyle w:val="berschrift1"/>
      </w:pPr>
      <w:bookmarkStart w:id="9" w:name="_Toc227740046"/>
      <w:r>
        <w:t>Weniger Arbeitsunfälle</w:t>
      </w:r>
      <w:bookmarkEnd w:id="9"/>
    </w:p>
    <w:p w14:paraId="48D321E6" w14:textId="77777777" w:rsidR="00D56E61" w:rsidRDefault="000044CD">
      <w:pPr>
        <w:pStyle w:val="Standard-Fett"/>
      </w:pPr>
      <w:r>
        <w:t>DGUV veröffentlicht aktuelle Zahlen</w:t>
      </w:r>
    </w:p>
    <w:p w14:paraId="66C85091" w14:textId="77777777" w:rsidR="00D56E61" w:rsidRDefault="000044CD">
      <w:pPr>
        <w:pStyle w:val="Vorspann"/>
      </w:pPr>
      <w:r>
        <w:t>Die Zahl der meldepflichtigen Arbeitsunfälle ist im Jahr 2025 auf rund 731 000 gesunken. Das sind etwa 24 000 Unfälle weniger als im Jahr zuvor, wie die deutsche gesetzliche Unfallversicherung (DGUV) mitteilt.</w:t>
      </w:r>
    </w:p>
    <w:p w14:paraId="2DC7A69D" w14:textId="77777777" w:rsidR="00D56E61" w:rsidRDefault="000044CD">
      <w:r>
        <w:t xml:space="preserve">Laut „Barometer Arbeitswelt 2026“ verstarben 335 Menschen, und fast 9700 Versicherte erhielten erstmals eine Rente infolge eines Arbeitsunfalls. Auch diese Zahlen sind rückläufig. </w:t>
      </w:r>
    </w:p>
    <w:p w14:paraId="5F4FAA01" w14:textId="77777777" w:rsidR="00D56E61" w:rsidRDefault="000044CD">
      <w:r>
        <w:t>Das Meinungsforschungsinstitut Forsa hatte im Auftrag der DGUV unter anderem die Belastungen und Unfallrisiken im Arbeitsalltag untersucht. Es befragte insgesamt 2015 Erwerbstätige aus Unternehmen mit mindestens zwei Mitarbeitenden, darunter 544 Führungskräfte sowie Unternehmerinnen und Unternehmer.</w:t>
      </w:r>
    </w:p>
    <w:p w14:paraId="0E39C175" w14:textId="77777777" w:rsidR="00D56E61" w:rsidRDefault="000044CD">
      <w:r>
        <w:t xml:space="preserve">90 Prozent der Befragten stimmten der Aussage zu, dass Prävention Unternehmen stärkt und die Krisenfestigkeit des Wirtschaftsstandorts Deutschland erhöht. Sie bewerteten vor allem </w:t>
      </w:r>
      <w:r>
        <w:lastRenderedPageBreak/>
        <w:t xml:space="preserve">konkrete Maßnahmen, wie die Benennung und Qualifizierung von Ersthelfenden, Brandschutzhelfenden und Sicherheitsbeauftragten, als wichtig. </w:t>
      </w:r>
    </w:p>
    <w:p w14:paraId="58BF57DB" w14:textId="77777777" w:rsidR="00D56E61" w:rsidRDefault="000044CD">
      <w:r>
        <w:t xml:space="preserve">Führungskräfte betonten in der Umfrage den Erhalt der Gesundheit: 94 Prozent wollen, dass Beschäftigte gesund bis zur Rente arbeiten können – noch vor wirtschaftlichen Erwägungen oder Arbeitgeberattraktivität. </w:t>
      </w:r>
    </w:p>
    <w:p w14:paraId="3F9A48CC" w14:textId="77777777" w:rsidR="00D56E61" w:rsidRDefault="000044CD">
      <w:r>
        <w:t xml:space="preserve">„Arbeitsschutz und Sicherheitskultur helfen nicht nur dabei, Unfälle und Erkrankungen zu verhindern. Sie sind auch wichtig für Resilienz und Stabilität von Wirtschaft und Gesellschaft insgesamt“, sagt DGUV-Hauptgeschäftsführer Dr. Stephan Fasshauer zu den Ergebnissen. </w:t>
      </w:r>
    </w:p>
    <w:p w14:paraId="1CE78497" w14:textId="77777777" w:rsidR="00D56E61" w:rsidRDefault="000044CD">
      <w:r>
        <w:t xml:space="preserve">Laut Umfrage zählen Stolper-, Rutsch- und Sturzunfälle (53 Prozent), Bedrohung oder Gewalt (22 Prozent) sowie der Umgang mit Werkzeugen oder Maschinen (je 21 Prozent) zu den häufigsten Unfallursachen. Als größte Belastung bei der Arbeit nennen die Befragten Stress. In Zukunft erwarten sie vor allem steigende Risiken durch psychische Belastungen (60 Prozent) und veränderte Altersstrukturen (48 Prozent). </w:t>
      </w:r>
      <w:proofErr w:type="spellStart"/>
      <w:r>
        <w:rPr>
          <w:b/>
        </w:rPr>
        <w:t>ken</w:t>
      </w:r>
      <w:proofErr w:type="spellEnd"/>
    </w:p>
    <w:p w14:paraId="78D65D75" w14:textId="77777777" w:rsidR="00D56E61" w:rsidRDefault="000044CD">
      <w:pPr>
        <w:pStyle w:val="berschrift1"/>
      </w:pPr>
      <w:bookmarkStart w:id="10" w:name="_Toc227740047"/>
      <w:r>
        <w:t>50 Millionen Euro</w:t>
      </w:r>
      <w:bookmarkEnd w:id="10"/>
    </w:p>
    <w:p w14:paraId="52CC5214" w14:textId="77777777" w:rsidR="00D56E61" w:rsidRDefault="000044CD">
      <w:pPr>
        <w:pStyle w:val="Standard-Fett"/>
      </w:pPr>
      <w:r>
        <w:t>Mit staatlicher Förderung barrierefreien Wohnraum schaffen</w:t>
      </w:r>
    </w:p>
    <w:p w14:paraId="0375BDC8" w14:textId="77777777" w:rsidR="00D56E61" w:rsidRDefault="000044CD">
      <w:pPr>
        <w:pStyle w:val="Vorspann"/>
      </w:pPr>
      <w:r>
        <w:t xml:space="preserve">Das KfW-Programm zum barrierefreien Umbau wird wieder aufgelegt. Das ist auch ein Erfolg des Sozialverbands VdK: Er hatte sich frühzeitig und deutlich gegen die Einstellung des Investitionszuschusses positioniert und sich intensiv für dessen Erhalt eingesetzt. </w:t>
      </w:r>
    </w:p>
    <w:p w14:paraId="56FE6670" w14:textId="77777777" w:rsidR="00D56E61" w:rsidRDefault="000044CD">
      <w:r>
        <w:t xml:space="preserve">Damit Menschen im Alter oder mit einer Behinderung selbstbestimmt leben können, sind sie auf barrierefreien Wohnraum angewiesen. Doch viele können sich einen solchen Umbau von Wohnung oder Haus finanziell nicht leisten. Für sie wurde das Förderprogramm der KfW „Altersgerecht umbauen“ geschaffen. </w:t>
      </w:r>
    </w:p>
    <w:p w14:paraId="78ACCD25" w14:textId="77777777" w:rsidR="00D56E61" w:rsidRDefault="000044CD">
      <w:r>
        <w:t>Das Programm wurde im Jahr 2025 eingestellt, obwohl der Bedarf groß ist. Der VdK hat diese Entscheidung scharf kritisiert. In den vergangenen Jahren konnte der barrierefreie Umbau von hunderttausenden Wohneinheiten gefördert werden – für den VdK ein Beleg für den nachhaltigen Nutzen des Programms.</w:t>
      </w:r>
    </w:p>
    <w:p w14:paraId="18470B51" w14:textId="77777777" w:rsidR="00D56E61" w:rsidRDefault="000044CD">
      <w:r>
        <w:t>Nun werden wieder Mittel bereitgestellt. In diesem Jahr enthält der Fördertopf 50 Millionen Euro. Allerdings dringt VdK-Präsidentin Verena Bentele darauf, diese Fördersumme weiter aufzustocken. „Schon in der Vergangenheit waren die Gelder regelmäßig frühzeitig ausgeschöpft – manchmal bereits nach wenigen Wochen“, erklärt Bentele</w:t>
      </w:r>
    </w:p>
    <w:p w14:paraId="7889D41A" w14:textId="77777777" w:rsidR="00D56E61" w:rsidRDefault="000044CD">
      <w:r>
        <w:t>Auch für das Jahr 2026 erwartet der VdK, dass die Nachfrage das Angebot bei weitem übersteigen wird. Der demografische Wandel und der Mangel an mehr als drei Millionen barrierefreien Wohnungen werden dafür sorgen. Der VdK geht davon aus, dass ein Fördervolumen von mindestens 390 Millionen Euro erforderlich ist, um den tatsächlichen Bedarf zu decken.</w:t>
      </w:r>
    </w:p>
    <w:p w14:paraId="5A9AD3B1" w14:textId="77777777" w:rsidR="00D56E61" w:rsidRDefault="000044CD">
      <w:r>
        <w:lastRenderedPageBreak/>
        <w:t xml:space="preserve">Darüber hinaus sollten auch die Förderkonditionen verbessert werden: Die Zuschüsse für Einzelmaßnahmen sollten von derzeit </w:t>
      </w:r>
      <w:proofErr w:type="gramStart"/>
      <w:r>
        <w:t>zehn  auf</w:t>
      </w:r>
      <w:proofErr w:type="gramEnd"/>
      <w:r>
        <w:t xml:space="preserve"> 30 Prozent steigen. Wer sein Haus auf den Standard „Altersgerechtes Haus“ umbaut, sollte nicht 12,5, sondern 37,5 Prozent der Kosten bezuschusst erhalten. „Nur dann werden notwendige Umbauten tatsächlich für breite Bevölkerungsschichten finanzierbar“, so Bentele.</w:t>
      </w:r>
    </w:p>
    <w:p w14:paraId="00B81D06" w14:textId="77777777" w:rsidR="00D56E61" w:rsidRDefault="000044CD">
      <w:pPr>
        <w:pStyle w:val="Zwischentitel"/>
      </w:pPr>
      <w:r>
        <w:t>Neuer Name</w:t>
      </w:r>
    </w:p>
    <w:p w14:paraId="323E1BFD" w14:textId="77777777" w:rsidR="00D56E61" w:rsidRDefault="000044CD">
      <w:r>
        <w:t>Das KfW-Programm läuft nun unter dem Namen „</w:t>
      </w:r>
      <w:proofErr w:type="spellStart"/>
      <w:r>
        <w:t>Barrierereduzierung</w:t>
      </w:r>
      <w:proofErr w:type="spellEnd"/>
      <w:r>
        <w:t xml:space="preserve"> – Investitionszuschuss“. Der staatliche Zuschuss kann seit 8. April vor Beginn eines Vorhabens im KfW-Portal beantragt werden. Für einzelne Maßnahmen beträgt der Zuschuss maximal 2500 Euro. Für den Umbau eines Hauses auf den Standard „Altersgerechtes Haus“ sind es maximal 6250 Euro. </w:t>
      </w:r>
      <w:r>
        <w:rPr>
          <w:b/>
        </w:rPr>
        <w:t>Kristin Enge</w:t>
      </w:r>
    </w:p>
    <w:p w14:paraId="13C48438" w14:textId="77777777" w:rsidR="00D56E61" w:rsidRDefault="000044CD">
      <w:pPr>
        <w:pStyle w:val="berschrift1"/>
      </w:pPr>
      <w:bookmarkStart w:id="11" w:name="_Toc227740048"/>
      <w:r>
        <w:t>VdK erzielt Erfolg vor dem Bundessozialgericht</w:t>
      </w:r>
      <w:bookmarkEnd w:id="11"/>
    </w:p>
    <w:p w14:paraId="75110602" w14:textId="77777777" w:rsidR="00D56E61" w:rsidRDefault="000044CD">
      <w:pPr>
        <w:pStyle w:val="Standard-Fett"/>
      </w:pPr>
      <w:r>
        <w:t>Klage auf Anerkennung einer Posttraumatischen Belastungsstörung als Berufskrankheit muss erneut verhandelt werden</w:t>
      </w:r>
    </w:p>
    <w:p w14:paraId="292082FC" w14:textId="77777777" w:rsidR="00D56E61" w:rsidRDefault="000044CD">
      <w:pPr>
        <w:pStyle w:val="Vorspann"/>
      </w:pPr>
      <w:r>
        <w:t xml:space="preserve">Erfolgreiche Revision vor dem Bundessozialgericht (BSG): Der Sozialverband VdK hat für einen </w:t>
      </w:r>
      <w:proofErr w:type="spellStart"/>
      <w:r>
        <w:t>Leichenumbetter</w:t>
      </w:r>
      <w:proofErr w:type="spellEnd"/>
      <w:r>
        <w:t xml:space="preserve"> erreicht, dass das Landessozialgericht (LSG) seine Klage erneut verhandeln muss. Zuvor hatte das LSG abgelehnt, die Posttraumatische Belastungsstörung (PTBS) des Mannes als Wie-Berufskrankheit anzuerkennen.</w:t>
      </w:r>
    </w:p>
    <w:p w14:paraId="5F4DD057" w14:textId="77777777" w:rsidR="00D56E61" w:rsidRDefault="000044CD">
      <w:r>
        <w:t xml:space="preserve">Der heute 62-jährige Kläger war beim Volksbund Deutsche Kriegsgräberfürsorge tätig. Er exhumierte zwischen 1993 und 2005 Kriegstote, identifizierte Opfer aus Massengräbern und war darüber hinaus bei Einsätzen während der Jugoslawienkriege mit teils frisch Verstorbenen konfrontiert. </w:t>
      </w:r>
    </w:p>
    <w:p w14:paraId="473E8ECB" w14:textId="77777777" w:rsidR="00D56E61" w:rsidRDefault="000044CD">
      <w:r>
        <w:t xml:space="preserve">Im Jahr 2005 war er an einer Posttraumatischen Belastungsstörung dauerhaft arbeitsunfähig erkrankt. Seine Beschäftigung endete 2008 mit einem Vergleich. Seit dem Jahr 2011 bezieht der Mann eine Rente wegen voller Erwerbsminderung. </w:t>
      </w:r>
    </w:p>
    <w:p w14:paraId="45F8DEE2" w14:textId="77777777" w:rsidR="00D56E61" w:rsidRDefault="000044CD">
      <w:pPr>
        <w:pStyle w:val="Zwischentitel"/>
      </w:pPr>
      <w:r>
        <w:t>Anerkennung verweigert</w:t>
      </w:r>
    </w:p>
    <w:p w14:paraId="778B5578" w14:textId="77777777" w:rsidR="00D56E61" w:rsidRDefault="000044CD">
      <w:r>
        <w:t xml:space="preserve">2017 wandte er sich an die Berufsgenossenschaft (BG) und trug vor, durch seine langjährige Tätigkeit sei es bei ihm zu gesundheitlichen Störungen mit einer lebenslangen Behinderung gekommen. Die BG lehnte es ab, seine Belastungsstörung als Berufskrankheit beziehungsweise als Wie-Berufskrankheit anzuerkennen. Als Berufskrankheit werden grundsätzlich nur Erkrankungen anerkannt, die nach Empfehlung des Ärztlichen Sachverständigenrats in die </w:t>
      </w:r>
      <w:r>
        <w:lastRenderedPageBreak/>
        <w:t xml:space="preserve">entsprechende Liste aufgenommen wurden. Da dieser Prozess oft lange dauert, gibt es eine Ausnahme. Liegen neue medizinische Erkenntnisse vor, kann eine Erkrankung bereits vorher anerkannt werden. In diesen Fällen spricht man von einer sogenannten Wie-Berufskrankheit. </w:t>
      </w:r>
    </w:p>
    <w:p w14:paraId="375AE6D6" w14:textId="77777777" w:rsidR="00D56E61" w:rsidRDefault="000044CD">
      <w:r>
        <w:t xml:space="preserve">Die Klagen des Mannes gegen die Ablehnung blieben in den Vorinstanzen erfolglos. Ende März dieses Jahres hat die VdK-Bundesrechtsabteilung vor dem BSG einen wichtigen Erfolg für sein Mitglied erzielt. Das Gericht hat das vorherige Urteil des LSG aufgehoben und zur erneuten Verhandlung zurückverwiesen (Az. B 2 U19/23 R). Dabei hatte das BSG klargestellt, dass eine Anerkennung psychischer Erkrankungen wie der PTBS als Wie-Berufskrankheit grundsätzlich möglich ist. </w:t>
      </w:r>
    </w:p>
    <w:p w14:paraId="35567E87" w14:textId="77777777" w:rsidR="00D56E61" w:rsidRDefault="000044CD">
      <w:r>
        <w:t xml:space="preserve">Die Begründung: Es ist nicht immer erforderlich, dass für jede einzelne Berufsgruppe gesonderte wissenschaftliche Studien vorliegen, die ein erhöhtes Erkrankungsrisiko im Vergleich zur Allgemeinbevölkerung belegen. Entscheidend ist laut BSG vielmehr der Ursachenzusammenhang zwischen beruflicher Belastung und Erkrankung. </w:t>
      </w:r>
    </w:p>
    <w:p w14:paraId="5240D244" w14:textId="77777777" w:rsidR="00D56E61" w:rsidRDefault="000044CD">
      <w:pPr>
        <w:pStyle w:val="Zwischentitel"/>
      </w:pPr>
      <w:r>
        <w:t>LSG wieder am Zug</w:t>
      </w:r>
    </w:p>
    <w:p w14:paraId="1BCF50A6" w14:textId="77777777" w:rsidR="00D56E61" w:rsidRDefault="000044CD">
      <w:r>
        <w:t>Damit knüpft das BSG an seine Grundsatzentscheidung aus dem Jahr 2023 an (Az. B 2 U 11/20 R), in der es für Rettungssanitäter diese Maßstäbe entwickelt hatte.</w:t>
      </w:r>
    </w:p>
    <w:p w14:paraId="7B55B0E4" w14:textId="77777777" w:rsidR="00D56E61" w:rsidRDefault="000044CD">
      <w:r>
        <w:t xml:space="preserve">Für das VdK-Mitglied ist das Verfahren noch nicht abgeschlossen: Das LSG Berlin-Brandenburg muss nun erneut prüfen, ob und in welchem Umfang die Tätigkeit als </w:t>
      </w:r>
      <w:proofErr w:type="spellStart"/>
      <w:r>
        <w:t>Leichenumbetter</w:t>
      </w:r>
      <w:proofErr w:type="spellEnd"/>
      <w:r>
        <w:t xml:space="preserve"> geeignet war, die PTBS auszulösen. Für den VdK ist die Entscheidung ein bedeutender Erfolg. „Die Rechtsprechung trägt mit dieser Entscheidung den veränderten Belastungen in der modernen Arbeitswelt stärker Rechnung“, sagt Juristin Friederike Bolte von der VdK-Bundesrechtsabteilung in Berlin. </w:t>
      </w:r>
    </w:p>
    <w:p w14:paraId="21700AB3" w14:textId="77777777" w:rsidR="00D56E61" w:rsidRDefault="000044CD">
      <w:r>
        <w:t xml:space="preserve">Gleichzeitig werde der Zugang zur gesetzlichen Unfallversicherung für Betroffene deutlich verbessert. „Die Entscheidung des Bundessozialgerichts gibt Hoffnung und macht Betroffenen Mut. Der Senat hat damit ein starkes Signal gesetzt: Psychische Erkrankungen können endlich als Berufskrankheiten anerkennungsfähig sein. Das Urteil ist wegweisend für die Weiterentwicklung des </w:t>
      </w:r>
      <w:proofErr w:type="spellStart"/>
      <w:r>
        <w:t>Berufskrankheitenrechts</w:t>
      </w:r>
      <w:proofErr w:type="spellEnd"/>
      <w:r>
        <w:t xml:space="preserve">“, erklärt Bolte.  </w:t>
      </w:r>
      <w:r>
        <w:rPr>
          <w:b/>
        </w:rPr>
        <w:t>Jörg Ciszewski/cl</w:t>
      </w:r>
    </w:p>
    <w:p w14:paraId="62572FD8" w14:textId="77777777" w:rsidR="00D56E61" w:rsidRDefault="000044CD">
      <w:pPr>
        <w:pStyle w:val="berschrift1"/>
      </w:pPr>
      <w:bookmarkStart w:id="12" w:name="_Toc227740049"/>
      <w:r>
        <w:t>Volle Erwerbsminderungsrente erstritten</w:t>
      </w:r>
      <w:bookmarkEnd w:id="12"/>
    </w:p>
    <w:p w14:paraId="45D361DC" w14:textId="77777777" w:rsidR="00D56E61" w:rsidRDefault="000044CD">
      <w:pPr>
        <w:pStyle w:val="Standard-Fett"/>
      </w:pPr>
      <w:r>
        <w:t>VdK Bayern mit Klage erfolgreich – Mitglied schöpft wieder Lebensmut</w:t>
      </w:r>
    </w:p>
    <w:p w14:paraId="595E2071" w14:textId="77777777" w:rsidR="00D56E61" w:rsidRDefault="000044CD">
      <w:pPr>
        <w:pStyle w:val="Vorspann"/>
      </w:pPr>
      <w:r>
        <w:t xml:space="preserve">„Ich will leben, nicht zerbrechen“:  Martina </w:t>
      </w:r>
      <w:proofErr w:type="spellStart"/>
      <w:r>
        <w:t>Schmölzing</w:t>
      </w:r>
      <w:proofErr w:type="spellEnd"/>
      <w:r>
        <w:t xml:space="preserve"> aus Oberfranken war mit ihren Kräften am Ende und wandte sich in ihrer Not an den VdK. Die für sie zuständigen Kreis- und </w:t>
      </w:r>
      <w:r>
        <w:lastRenderedPageBreak/>
        <w:t xml:space="preserve">Bezirksgeschäftsstellen in Bayern verhalfen ihr zu einem Schwerbehindertenausweis und erstritten vor Gericht eine volle Erwerbsminderungsrente. </w:t>
      </w:r>
    </w:p>
    <w:p w14:paraId="0B0F81FF" w14:textId="77777777" w:rsidR="00D56E61" w:rsidRDefault="000044CD">
      <w:r>
        <w:t>Die 58-Jährige hat starke Rückenschmerzen sowie eine Herzkrankheit, sie leidet zudem an psychischen Problemen. Arbeiten kann sie nicht mehr, doch das musste sie erst beweisen. „Der VdK hat alles geregelt“, sagt sie. „Jetzt kann ich wieder zuversichtlicher nach vorne blicken.“</w:t>
      </w:r>
    </w:p>
    <w:p w14:paraId="6CFAB92C" w14:textId="77777777" w:rsidR="00D56E61" w:rsidRDefault="000044CD">
      <w:r>
        <w:t>Zunächst wurde im Juli 2024 ein Antrag auf Schwerbehinderung gestellt, der vom Zentrum Bayern Familie und Soziales (ZBFS) rasch bewilligt wurde. Der Grad der Behinderung (</w:t>
      </w:r>
      <w:proofErr w:type="spellStart"/>
      <w:r>
        <w:t>GdB</w:t>
      </w:r>
      <w:proofErr w:type="spellEnd"/>
      <w:r>
        <w:t xml:space="preserve">) wurde mit 50 eingestuft. Bis die volle Erwerbsminderungsrente durchgesetzt werden konnte, dauerte es jedoch eineinhalb Jahre – und zunächst sah es gar nicht gut aus. </w:t>
      </w:r>
    </w:p>
    <w:p w14:paraId="699ECD42" w14:textId="77777777" w:rsidR="00D56E61" w:rsidRDefault="000044CD">
      <w:pPr>
        <w:pStyle w:val="Zwischentitel"/>
      </w:pPr>
      <w:r>
        <w:t>Viele Gutachten</w:t>
      </w:r>
    </w:p>
    <w:p w14:paraId="0C355BFC" w14:textId="77777777" w:rsidR="00D56E61" w:rsidRDefault="000044CD">
      <w:r>
        <w:t xml:space="preserve">Im Dezember 2024 wurde der entsprechende Antrag vom VdK-Kreisverband Lichtenfels gestellt. Die Deutsche Rentenversicherung lehnte allerdings ab. Auch ein Widerspruch des VdK im Mai 2025 war erfolglos. Dann erhob der VdK beim Sozialgericht Bayreuth Klage gegen die Deutsche Rentenversicherung Nordbayern. Damit war nicht mehr der Kreisverband Lichtenfels, sondern die Bezirksgeschäftsstelle Oberfranken für Martina </w:t>
      </w:r>
      <w:proofErr w:type="spellStart"/>
      <w:r>
        <w:t>Schmölzing</w:t>
      </w:r>
      <w:proofErr w:type="spellEnd"/>
      <w:r>
        <w:t xml:space="preserve"> zuständig. Deren Sozialrechtsvertreter Vinzent Windisch erinnert sich noch gut an die Situation damals: „Wir hatten von Frau </w:t>
      </w:r>
      <w:proofErr w:type="spellStart"/>
      <w:r>
        <w:t>Schmölzing</w:t>
      </w:r>
      <w:proofErr w:type="spellEnd"/>
      <w:r>
        <w:t xml:space="preserve"> zahlreiche medizinische Gutachten. Sie wurde vor dem Gerichtstermin noch zusätzlich von einem Sozialmediziner untersucht“, erzählt er.  </w:t>
      </w:r>
    </w:p>
    <w:p w14:paraId="76168173" w14:textId="77777777" w:rsidR="00D56E61" w:rsidRDefault="000044CD">
      <w:r>
        <w:t xml:space="preserve">Bei dem Verfahren im Januar dieses Jahres sei das VdK-Mitglied sehr angespannt gewesen: „Man kommt mit einem abgelehnten Antrag, der Widerspruch war nicht erfolgreich, der Ausgang ist ungewiss“, erklärt Windisch. „Die Erleichterung war dann umso größer, als die Klage erfolgreich war. Sie hat vor Freude geweint und mich umarmt“, erzählt Windisch. „Ich hatte natürlich schon gemerkt, dass Frau </w:t>
      </w:r>
      <w:proofErr w:type="spellStart"/>
      <w:r>
        <w:t>Schmölzing</w:t>
      </w:r>
      <w:proofErr w:type="spellEnd"/>
      <w:r>
        <w:t xml:space="preserve"> alles sehr nahegeht und war selber sehr glücklich über das Ergebnis.“</w:t>
      </w:r>
    </w:p>
    <w:p w14:paraId="58710DBD" w14:textId="77777777" w:rsidR="00D56E61" w:rsidRDefault="000044CD">
      <w:pPr>
        <w:pStyle w:val="Zwischentitel"/>
      </w:pPr>
      <w:r>
        <w:t>Arbeit im Akkord</w:t>
      </w:r>
    </w:p>
    <w:p w14:paraId="0428FA55" w14:textId="77777777" w:rsidR="00D56E61" w:rsidRDefault="000044CD">
      <w:r>
        <w:t xml:space="preserve">Die zweifache Mutter ist dem VdK überaus dankbar: „Ich bin ja nur eine Geringverdienerin, die sich niemals einen Anwalt hätte leisten können“, sagt sie. Von 1982 bis 1984 machte Martina </w:t>
      </w:r>
      <w:proofErr w:type="spellStart"/>
      <w:r>
        <w:t>Schmölzing</w:t>
      </w:r>
      <w:proofErr w:type="spellEnd"/>
      <w:r>
        <w:t xml:space="preserve"> eine Lehre zur </w:t>
      </w:r>
      <w:proofErr w:type="spellStart"/>
      <w:r>
        <w:t>Bekleidungsfertigerin</w:t>
      </w:r>
      <w:proofErr w:type="spellEnd"/>
      <w:r>
        <w:t xml:space="preserve"> und arbeitete noch ein Jahr beim Ausbildungsbetrieb. Dann nähte das VdK-Mitglied 32 Jahre lang bis 2017 Polstermöbel im Akkord. Wegen einer Firmeninsolvenz arbeitete sie dann bis Mitte 2023 als Kassiererin im Einzelhandel, bevor sie krankgeschrieben wurde, weil ihre Rückenschmerzen zu stark wurden. </w:t>
      </w:r>
    </w:p>
    <w:p w14:paraId="33184D38" w14:textId="77777777" w:rsidR="00D56E61" w:rsidRDefault="000044CD">
      <w:r>
        <w:t xml:space="preserve">2017 war sie schon an den Bandscheiben operiert worden – eine riskante Operation, die sie sehr lange hinausgezögert hatte, bis die Schmerzen nicht mehr auszuhalten waren. Doch die Schmerzen blieben. „Es ist schwierig, wenn man sein Leben lang gearbeitet hat und die Krankheit einen zwingt, aufzuhören“, sagt sie. „Meine tägliche Arbeit ist jetzt, den Umgang mit den Schmerzen zu lernen.“ Sie ist derzeit in einer Schmerztagesklinik in Behandlung. Denn Aufgeben ist für sie keine Option.  </w:t>
      </w:r>
      <w:r>
        <w:rPr>
          <w:b/>
        </w:rPr>
        <w:t>Petra J. Huschke</w:t>
      </w:r>
    </w:p>
    <w:p w14:paraId="46573BFA" w14:textId="77777777" w:rsidR="00D56E61" w:rsidRDefault="000044CD">
      <w:pPr>
        <w:pStyle w:val="berschrift1"/>
      </w:pPr>
      <w:bookmarkStart w:id="13" w:name="_Toc227740050"/>
      <w:r>
        <w:lastRenderedPageBreak/>
        <w:t>VdK klagt wegen verkürzter Verjährungsfrist</w:t>
      </w:r>
      <w:bookmarkEnd w:id="13"/>
    </w:p>
    <w:p w14:paraId="1BA4CF79" w14:textId="77777777" w:rsidR="00D56E61" w:rsidRDefault="000044CD">
      <w:pPr>
        <w:pStyle w:val="Standard-Fett"/>
      </w:pPr>
      <w:r>
        <w:t>Regelung zur Kostenerstattung für Ersatzpflege führt zu Benachteiligungen</w:t>
      </w:r>
    </w:p>
    <w:p w14:paraId="1CB80CC8" w14:textId="77777777" w:rsidR="00D56E61" w:rsidRDefault="000044CD">
      <w:pPr>
        <w:pStyle w:val="Vorspann"/>
      </w:pPr>
      <w:r>
        <w:t>Der Sozialverband VdK stößt ein Musterstreitverfahren gegen eine neue Regelung an, die seit diesem Jahr gilt. Dabei geht es um die Erstattung von Kosten für Verhinderungspflege. Durch kürzere Fristen für Anträge können viele Pflegehaushalte Geld verlieren.</w:t>
      </w:r>
    </w:p>
    <w:p w14:paraId="5BCF147E" w14:textId="77777777" w:rsidR="00D56E61" w:rsidRDefault="000044CD">
      <w:r>
        <w:t xml:space="preserve">Wenn eine Pflegeperson vorübergehend zum Beispiel wegen Urlaub oder Krankheit ausfällt, springt in bestimmten Fällen die Pflegekasse ein. Für Pflegebedürftige ab Pflegegrad 2 übernimmt sie die nachgewiesenen Kosten einer Ersatzpflege beziehungsweise Verhinderungspflege. Oft geht dabei der oder die Pflegebedürftige finanziell in Vorleistung und lässt sich die Kosten der Ersatzpflege im Nachgang von der Pflegekasse erstatten. </w:t>
      </w:r>
    </w:p>
    <w:p w14:paraId="32521CB0" w14:textId="77777777" w:rsidR="00D56E61" w:rsidRDefault="000044CD">
      <w:r>
        <w:t xml:space="preserve">Der VdK hat in den vergangenen Monaten von seinen Mitgliedern Hinweise erhalten, dass Pflegekassen im Jahr 2026 Erstattungsanträge für Verhinderungspflege aus den Jahren 2022 bis 2024 abgelehnt haben. Die Grundlage dafür ist ein neues Gesetz (Gesetz zur </w:t>
      </w:r>
      <w:proofErr w:type="spellStart"/>
      <w:r>
        <w:t>Befugniserweiterung</w:t>
      </w:r>
      <w:proofErr w:type="spellEnd"/>
      <w:r>
        <w:t xml:space="preserve"> und Entbürokratisierung in der Pflege), das seit dem 1. Januar 2026 gilt und die Erstattungsfrist für Kosten der Verhinderungspflege verkürzt.</w:t>
      </w:r>
    </w:p>
    <w:p w14:paraId="13234988" w14:textId="77777777" w:rsidR="00D56E61" w:rsidRDefault="000044CD">
      <w:r>
        <w:t>Früher wurden Kosten bis zu vier Jahre nach dem Entstehungsjahr erstattet, für geleistete Ersatzpflege im Jahr 2022 konnten beispielsweise bis Ende 2026 Anträge gestellt werden. Jetzt muss der Anspruch spätestens bis zum Ende des Folgejahres geltend gemacht werden. Die Erstattung von Kosten aus dem Jahr 2024 war demnach nur noch bis 31. Dezember 2025 möglich. Kurz gesagt: Wer sich auf die seit 50 Jahren geltende Vier-Jahres-Verjährung verlassen hat, kann seit diesem Jahr bei der Kostenerstattung für Verhinderungspflege aus den Jahren 2022 bis 2024 plötzlich leer ausgehen.</w:t>
      </w:r>
    </w:p>
    <w:p w14:paraId="4BC8A5B8" w14:textId="77777777" w:rsidR="00D56E61" w:rsidRDefault="000044CD">
      <w:pPr>
        <w:pStyle w:val="Zwischentitel"/>
      </w:pPr>
      <w:r>
        <w:t>Keine Übergangsregel</w:t>
      </w:r>
    </w:p>
    <w:p w14:paraId="6B8A7056" w14:textId="77777777" w:rsidR="00D56E61" w:rsidRDefault="000044CD">
      <w:r>
        <w:t xml:space="preserve">Der VdK kritisiert, dass die Neuregelung zu den verkürzten Fristen ohne eine Übergangsregel wirksam geworden ist. „Da zwischen der Verkündung am 29. Dezember 2025 und dem Inkrafttreten am 1. Januar 2026 mit nur zwei vollen Tagen ein sehr kurzer Zeitraum lag, hatten Betroffene quasi keine Reaktions- und Handlungsmöglichkeiten“, erklärt der Leiter der Bundesrechtsabteilung des VdK, Holger Lange. </w:t>
      </w:r>
    </w:p>
    <w:p w14:paraId="3904940B" w14:textId="77777777" w:rsidR="00D56E61" w:rsidRDefault="000044CD">
      <w:r>
        <w:t xml:space="preserve">Der VdK geht nun rechtlich gegen diese aus seiner Sicht unangemessene Verfahrensweise bei der Fristverkürzung vor, weil sie in Pflegehaushalten zu finanziellen Nachteilen führen kann. Er hat bereits mehrere Musterverfahren für VdK-Mitglieder angestoßen. In einem Verfahren geht </w:t>
      </w:r>
      <w:r>
        <w:lastRenderedPageBreak/>
        <w:t xml:space="preserve">es dabei um eine minderjährige Person, die gepflegt werden muss. Weitere Musterklagen werden vorbereitet. </w:t>
      </w:r>
    </w:p>
    <w:p w14:paraId="7FB04D1F" w14:textId="77777777" w:rsidR="00D56E61" w:rsidRDefault="000044CD">
      <w:r>
        <w:t xml:space="preserve"> </w:t>
      </w:r>
      <w:r>
        <w:rPr>
          <w:b/>
        </w:rPr>
        <w:t>Jörg Ciszewski</w:t>
      </w:r>
    </w:p>
    <w:p w14:paraId="298BAA61" w14:textId="77777777" w:rsidR="00D56E61" w:rsidRDefault="000044CD">
      <w:pPr>
        <w:pStyle w:val="berschrift1"/>
      </w:pPr>
      <w:bookmarkStart w:id="14" w:name="_Toc227740051"/>
      <w:r>
        <w:t>Neue Maßstäbe in der Pflege</w:t>
      </w:r>
      <w:bookmarkEnd w:id="14"/>
    </w:p>
    <w:p w14:paraId="6E14187D" w14:textId="77777777" w:rsidR="00D56E61" w:rsidRDefault="000044CD">
      <w:pPr>
        <w:pStyle w:val="Standard-Fett"/>
      </w:pPr>
      <w:r>
        <w:t>„Domino Coaching“ setzt auf individuelles Körpertraining und den Erhalt der Selbstständigkeit</w:t>
      </w:r>
    </w:p>
    <w:p w14:paraId="13FC57AB" w14:textId="77777777" w:rsidR="00D56E61" w:rsidRDefault="000044CD">
      <w:pPr>
        <w:pStyle w:val="Vorspann"/>
      </w:pPr>
      <w:r>
        <w:t xml:space="preserve">Die meisten Menschen wollen im Alter möglichst lange selbstbestimmt zu Hause leben. Ein Sturz oder eine Operation können diese Pläne durchkreuzen – und plötzlich sind sie pflegebedürftig. Doch es geht auch anders.  </w:t>
      </w:r>
    </w:p>
    <w:p w14:paraId="52BBF018" w14:textId="77777777" w:rsidR="00D56E61" w:rsidRDefault="000044CD">
      <w:r>
        <w:t>Nach ihrem dritten Schlaganfall dachte Gisela Orth erst, sie würde sich davon nicht mehr erholen. „Ich wollte doch eigentlich mit meinem Mann ein neues Leben beginnen“, erzählt die 88-Jährige. Statt des geplanten Umzugs machte sie eine Reha – ohne Erfolg. Dann hörte ihr Mann von einem Pflegeheim in Treptow, das Rehasport anbietet. Gisela Orth meldete sich dort an und begann zu trainieren. Anfangs sei sie noch skeptisch gewesen, ob sich der Heimaufenthalt lohnen würde. Doch schließlich habe sie große Fortschritte gemacht. „Ich bin ein glücklicher, zuversichtlicher Mensch geworden“, sagt sie. Mittlerweile lebt sie mit ihrem Mann in der neuen Wohnung.</w:t>
      </w:r>
    </w:p>
    <w:p w14:paraId="0EF6B2AC" w14:textId="77777777" w:rsidR="00D56E61" w:rsidRDefault="000044CD">
      <w:r>
        <w:t xml:space="preserve">Erfahrungen wie diese sind für Lutz </w:t>
      </w:r>
      <w:proofErr w:type="spellStart"/>
      <w:r>
        <w:t>Karnauchow</w:t>
      </w:r>
      <w:proofErr w:type="spellEnd"/>
      <w:r>
        <w:t>, Begründer des „Domino Coachings“ und der „Domino World“, gar nicht so selten: „Etwa zehn Prozent unserer Heimbewohnerinnen und Heimbewohner kehren nach drei Monaten wieder zurück in ihr Zuhause“, berichtet er. Dass es in den drei Pflegeheimen in Berlin und Brandenburg etwas anders zugeht als in anderen Einrichtungen, habe sich herumgesprochen: „Mittlerweile schließen manche Bewohnerinnen und Bewohner nur noch befristete Verträge mit uns ab.“</w:t>
      </w:r>
    </w:p>
    <w:p w14:paraId="29311DD1" w14:textId="77777777" w:rsidR="00D56E61" w:rsidRDefault="000044CD">
      <w:pPr>
        <w:pStyle w:val="Zwischentitel"/>
      </w:pPr>
      <w:r>
        <w:t xml:space="preserve">Tägliches Training </w:t>
      </w:r>
    </w:p>
    <w:p w14:paraId="5C51B0A4" w14:textId="77777777" w:rsidR="00D56E61" w:rsidRDefault="000044CD">
      <w:r>
        <w:t xml:space="preserve">Dabei beschäftigen seine Heime nicht mehr Personal als andere. „Wir stellen weder Physiotherapeuten noch andere Therapeuten ein, sondern bilden unsere Pflegekräfte zu Personal Trainern aus“, erzählt </w:t>
      </w:r>
      <w:proofErr w:type="spellStart"/>
      <w:r>
        <w:t>Karnauchow</w:t>
      </w:r>
      <w:proofErr w:type="spellEnd"/>
      <w:r>
        <w:t>. Das verursache wenig Mehrkosten und werte den Pflegeberuf auf.</w:t>
      </w:r>
    </w:p>
    <w:p w14:paraId="44F27BFD" w14:textId="77777777" w:rsidR="00D56E61" w:rsidRDefault="000044CD">
      <w:r>
        <w:t>In den Heimen der „Domino World“ bekommen die Bewohnerinnen und Bewohner vom ersten Tag an einen Personal Trainer zur Seite gestellt. Dieser erarbeitet zusammen mit ihnen ein individuelles Trainingsprogramm. Der Coach fragt die betreffende Person, was sie gerne noch erleben möchte. „Oft kommen dann Wünsche wie</w:t>
      </w:r>
      <w:proofErr w:type="gramStart"/>
      <w:r>
        <w:t>: ,Ich</w:t>
      </w:r>
      <w:proofErr w:type="gramEnd"/>
      <w:r>
        <w:t xml:space="preserve"> würde gerne noch einmal nach Italien fahren, an den Ort unserer Hochzeitsreise‘“, erzählt </w:t>
      </w:r>
      <w:proofErr w:type="spellStart"/>
      <w:r>
        <w:t>Karnauchow</w:t>
      </w:r>
      <w:proofErr w:type="spellEnd"/>
      <w:r>
        <w:t xml:space="preserve">. Die oder der Pflegebedürftige wird vom Coach dazu angeregt, sich auf einer Fantasiereise das Ziel so realistisch wie möglich </w:t>
      </w:r>
      <w:r>
        <w:lastRenderedPageBreak/>
        <w:t>vorzustellen, mit Gerüchen, Bildern, Geräuschen und Gefühlen. Diese Vision ist der „Anker“. Er hilft immer dann weiter, wenn es mal nicht so läuft und Durchhaltevermögen gefragt ist.</w:t>
      </w:r>
    </w:p>
    <w:p w14:paraId="258B6EC8" w14:textId="77777777" w:rsidR="00D56E61" w:rsidRDefault="000044CD">
      <w:r>
        <w:t xml:space="preserve">Das Trainingsprogramm zielt darauf ab, alltägliche Bewegungsabläufe wie Treppensteigen, Laufen oder selbstständiges Anziehen wieder besser durchführen zu können. „Das ist gar nicht so einfach, denn manchmal ist es notwendig, gegen den Schmerz zu trainieren“, sagt </w:t>
      </w:r>
      <w:proofErr w:type="spellStart"/>
      <w:r>
        <w:t>Karnauchow</w:t>
      </w:r>
      <w:proofErr w:type="spellEnd"/>
      <w:r>
        <w:t>. Mindestens vier Stunden täglich müsse man üben, um nach einer Erkrankung oder einem Sturz wieder auf die Beine zu kommen. Deshalb ist es wichtig, dass die Trainerinnen und Trainer auch gut motivieren können.</w:t>
      </w:r>
    </w:p>
    <w:p w14:paraId="7125A846" w14:textId="77777777" w:rsidR="00D56E61" w:rsidRDefault="000044CD">
      <w:pPr>
        <w:pStyle w:val="Zwischentitel"/>
      </w:pPr>
      <w:r>
        <w:t>Jede Menge Zeit</w:t>
      </w:r>
    </w:p>
    <w:p w14:paraId="4CB5796B" w14:textId="77777777" w:rsidR="00D56E61" w:rsidRDefault="000044CD">
      <w:r>
        <w:t xml:space="preserve">Während eine Reha nur drei Wochen dauert, haben Patientinnen und Patienten in den „Domino“-Heimen alle Zeit der Welt, um verloren geglaubte Fertigkeiten wiederzuerlangen. „Auch mit 80 oder 90 Jahren haben Menschen eine Chance, gesundheitlich wieder fitter zu werden“, bekräftigt </w:t>
      </w:r>
      <w:proofErr w:type="spellStart"/>
      <w:r>
        <w:t>Karnauchow</w:t>
      </w:r>
      <w:proofErr w:type="spellEnd"/>
      <w:r>
        <w:t>. In vielen Einrichtungen würden die alten Menschen nur sitzen oder liegen, das Personal nehme ihnen alles ab. „Das ist kein gutes Rezept, wenn man alt und krank ist.“</w:t>
      </w:r>
    </w:p>
    <w:p w14:paraId="68FFDE9A" w14:textId="77777777" w:rsidR="00D56E61" w:rsidRDefault="000044CD">
      <w:r>
        <w:t xml:space="preserve">Als er sein Heimkonzept vor 26 Jahren entwickelt hat, sei er vor allem auf der Suche nach einem Alleinstellungsmerkmal gewesen, erinnert sich </w:t>
      </w:r>
      <w:proofErr w:type="spellStart"/>
      <w:r>
        <w:t>Karnauchow</w:t>
      </w:r>
      <w:proofErr w:type="spellEnd"/>
      <w:r>
        <w:t xml:space="preserve">. Anfangs wurde er belächelt. Mittlerweile ist sein Konzept gefragt. Auch andere Einrichtungen wollen es anbieten. Kürzlich hat das Bundesgesundheitsministerium sogar einen leitenden Mitarbeiter geschickt, um sich in das Projekt einzubringen.  </w:t>
      </w:r>
      <w:r>
        <w:rPr>
          <w:b/>
        </w:rPr>
        <w:t>Annette Liebmann</w:t>
      </w:r>
    </w:p>
    <w:p w14:paraId="3B0BA6E4" w14:textId="77777777" w:rsidR="00D56E61" w:rsidRDefault="000044CD">
      <w:pPr>
        <w:pStyle w:val="berschrift1"/>
      </w:pPr>
      <w:bookmarkStart w:id="15" w:name="_Toc227740052"/>
      <w:r>
        <w:t>Pflegebedingte Armut</w:t>
      </w:r>
      <w:bookmarkEnd w:id="15"/>
    </w:p>
    <w:p w14:paraId="490E56B7" w14:textId="77777777" w:rsidR="00D56E61" w:rsidRDefault="000044CD">
      <w:pPr>
        <w:pStyle w:val="Standard-Fett"/>
      </w:pPr>
      <w:r>
        <w:t>Sozialleistungen kommen bei Bedürftigen nicht an</w:t>
      </w:r>
    </w:p>
    <w:p w14:paraId="462174CF" w14:textId="77777777" w:rsidR="00D56E61" w:rsidRDefault="000044CD">
      <w:pPr>
        <w:pStyle w:val="Vorspann"/>
      </w:pPr>
      <w:r>
        <w:t>Vier von fünf Menschen, die potenziell Anspruch auf die sogenannte Hilfe zur Pflege hätten, erhalten diese nicht. Das ist das Ergebnis einer Studie, die der Paritätische Gesamtverband kürzlich veröffentlicht hat.</w:t>
      </w:r>
    </w:p>
    <w:p w14:paraId="0C8B0A3C" w14:textId="77777777" w:rsidR="00D56E61" w:rsidRDefault="000044CD">
      <w:r>
        <w:t>In der Studie zum Thema Pflegearmut wurde modellhaft berechnet, dass bundesweit rund 316 000 armutsbetroffene Pflegebedürftige, die zu Hause versorgt werden, die Sozialleistung „Hilfe zur Pflege“ trotz bestehendem Anspruch nicht erhalten. Insgesamt werden rund 4,9 Millionen Menschen zu Hause gepflegt. Etwa 392 000 haben einen Anspruch auf Hilfe zur Pflege, aber nur bei rund 76 000 der Betroffenen kommt sie tatsächlich an.</w:t>
      </w:r>
    </w:p>
    <w:p w14:paraId="4D145BE4" w14:textId="77777777" w:rsidR="00D56E61" w:rsidRDefault="000044CD">
      <w:r>
        <w:t>Zudem zeigt sich ein deutlicher Unterschied zwischen vollstationärer und häuslicher beziehungsweise ambulanter Pflege: Pflegebedürftige in vollstationärer Versorgung erhalten die Sozialleistung der Studie zufolge deutlich häufiger.</w:t>
      </w:r>
    </w:p>
    <w:p w14:paraId="2116073B" w14:textId="77777777" w:rsidR="00D56E61" w:rsidRDefault="000044CD">
      <w:r>
        <w:lastRenderedPageBreak/>
        <w:t>Der Paritätische geht davon aus, dass Unwissenheit, Scham und mangelnde Beratung dazu führen, dass zu Hause gepflegte Personen ihren Anspruch nicht wahrnehmen. Auch eine unterschiedliche Bewilligungspraxis in den zuständigen Sozialämtern sorgt dafür, dass Betroffene die finanzielle Unterstützung teils nicht erhalten. „Derzeit entscheidet die Postleitzahl darüber, wie gut Pflegebedürftige zu Hause unterstützt werden – das ist schlicht ungerecht“, kritisiert Joachim Rock, Hauptgeschäftsführer des Paritätischen Gesamtverbands. Im Ländervergleich schneiden insbesondere Baden-Württemberg, Niedersachsen, Rheinland-Pfalz, das Saarland, Sachsen und Thüringen schlecht ab.</w:t>
      </w:r>
    </w:p>
    <w:p w14:paraId="65202E42" w14:textId="77777777" w:rsidR="00D56E61" w:rsidRDefault="000044CD">
      <w:r>
        <w:t xml:space="preserve">Wenn Leistungen der Pflegeversicherung, eigenes Einkommen oder Vermögen nicht ausreichen, um die Pflegekosten zu decken, können Betroffene beim Sozialamt einen Antrag auf Hilfe zur Pflege stellen. Entscheidend sind die finanziellen Verhältnisse der pflegebedürftigen Person sowie eines nicht </w:t>
      </w:r>
      <w:proofErr w:type="gramStart"/>
      <w:r>
        <w:t>getrennt lebenden</w:t>
      </w:r>
      <w:proofErr w:type="gramEnd"/>
      <w:r>
        <w:t xml:space="preserve"> Ehegatten oder Lebenspartners. </w:t>
      </w:r>
      <w:proofErr w:type="spellStart"/>
      <w:r>
        <w:rPr>
          <w:b/>
        </w:rPr>
        <w:t>ken</w:t>
      </w:r>
      <w:proofErr w:type="spellEnd"/>
    </w:p>
    <w:p w14:paraId="1E9B934A" w14:textId="77777777" w:rsidR="00D56E61" w:rsidRDefault="000044CD">
      <w:pPr>
        <w:pStyle w:val="berschrift1"/>
      </w:pPr>
      <w:bookmarkStart w:id="16" w:name="_Toc227740053"/>
      <w:r>
        <w:t>Reformen sollen Krankenkassenbeiträge stabilisieren</w:t>
      </w:r>
      <w:bookmarkEnd w:id="16"/>
    </w:p>
    <w:p w14:paraId="516E3448" w14:textId="77777777" w:rsidR="00D56E61" w:rsidRDefault="000044CD">
      <w:pPr>
        <w:pStyle w:val="Standard-Fett"/>
      </w:pPr>
      <w:r>
        <w:t>VdK kritisiert die Pläne des Bundesgesundheitsministeriums und warnt vor Leistungskürzungen für Patientinnen und Patienten</w:t>
      </w:r>
    </w:p>
    <w:p w14:paraId="0BD8830E" w14:textId="77777777" w:rsidR="00D56E61" w:rsidRDefault="000044CD">
      <w:pPr>
        <w:pStyle w:val="Vorspann"/>
      </w:pPr>
      <w:r>
        <w:t>Um das Milliardenloch bei den Krankenkassen zu stopfen und steigende Beiträge zu vermeiden, hat Bundesgesundheitsministerin Nina Warken ein Reformpaket vorgestellt. Der Sozialverband VdK sieht die Vorschläge kritisch.</w:t>
      </w:r>
    </w:p>
    <w:p w14:paraId="0C285BD9" w14:textId="77777777" w:rsidR="00D56E61" w:rsidRDefault="000044CD">
      <w:r>
        <w:t xml:space="preserve">Die gesetzliche Krankenversicherung (GKV) steht vor großen finanziellen Herausforderungen. Ohne grundlegende Reformen könnte bereits im kommenden Jahr ein Defizit von rund 15 Milliarden Euro entstehen. Bundesgesundheitsministerin Nina Warken plant Maßnahmen, um dieser Entwicklung entgegenzuwirken. </w:t>
      </w:r>
    </w:p>
    <w:p w14:paraId="03584A4F" w14:textId="77777777" w:rsidR="00D56E61" w:rsidRDefault="000044CD">
      <w:r>
        <w:t xml:space="preserve">Warken ließ 66 Reformvorschläge der Finanzkommission Gesundheit prüfen und hat angekündigt, drei Viertel dieser Maßnahmen umzusetzen. Insgesamt sollen dadurch im Jahr 2027 rund 20 Milliarden Euro eingespart werden. Der VdK sieht die Pläne differenziert. Positiv ist, dass bei Leistungserbringern wie Praxen, Kliniken und Arzneimittelherstellern große Einsparpotenziale gesehen werden. </w:t>
      </w:r>
    </w:p>
    <w:p w14:paraId="6D276E32" w14:textId="77777777" w:rsidR="00D56E61" w:rsidRDefault="000044CD">
      <w:pPr>
        <w:pStyle w:val="Zwischentitel"/>
      </w:pPr>
      <w:r>
        <w:t>Zentrale Elemente</w:t>
      </w:r>
    </w:p>
    <w:p w14:paraId="1CBB6888" w14:textId="77777777" w:rsidR="00D56E61" w:rsidRDefault="000044CD">
      <w:r>
        <w:t xml:space="preserve">Sehr kritisch blickt der VdK hingegen auf Leistungskürzungen für Patientinnen und Patienten. „Zentrale Elemente der gesetzlichen Krankenversicherung dürfen nicht aus kurzfristigen Sparzwängen heraus geschwächt werden“, sagt VdK-Präsidentin Verena Bentele. Der VdK lehnt </w:t>
      </w:r>
      <w:r>
        <w:lastRenderedPageBreak/>
        <w:t>daher die vorgeschlagene Ausweitung beziehungsweise Erhöhung von Zuzahlungen bei Arzneimitteln grundsätzlich ab. „Jede Form der Eigenbeteiligung belastet Menschen mit geringem Einkommen, chronisch Kranke und Menschen mit Behinderungen überproportional stark“, so Bentele. Auch wenn bestehende Härtefallregeln beibehalten werden sollen oder es sich um die erste Erhöhung seit vielen Jahren handelt, bleibt das Grundproblem bestehen. „Jede zusätzliche finanzielle Belastung im Gesundheitswesen führt dazu, dass die Versorgung immer stärker vom Geldbeutel abhängt. Das ist in Zeiten steigender Lebenshaltungskosten das falsche Signal“, sagt Bentele.</w:t>
      </w:r>
    </w:p>
    <w:p w14:paraId="5CA5E054" w14:textId="5423B71F" w:rsidR="00D56E61" w:rsidRDefault="000044CD">
      <w:r>
        <w:t>Auch die geplante Modifizierung der beitragsfreien Mitversicherung von Ehepartnerinnen und Ehepartnern lehnt der VdK ab. Geplant ist unter anderem, dass nur noch folgende Gruppen beitragsfrei mitversichert bleiben: Kinder, Eltern von Kindern unter sieben Jahren sowie von Kindern mit Behinderung, pflegende Angehörige und Menschen im Rentenalter. Für alle anderen bisher beitragsfrei versicherten Eheleute plant Warken einen eigenen Beitrag von pauschal 3,5 Prozent des beitragspflichtigen Einkommens des versicherten Ehepartners. Vor dem Hintergrund solcher Ausnahmeregelungen entsteht der Eindruck zusätzlicher Bürokratie bei wenig Einsparungen – sowohl für die Versicherten als auch für Krankenkassen. Der Vorschlag wirke eher wie ein arbeitsmarktpolitisches Steuerungsinstrument als wie eine nachhaltige Reform zur Stabilisierung der Kassen, so Bentele.</w:t>
      </w:r>
    </w:p>
    <w:p w14:paraId="629BD5D3" w14:textId="77777777" w:rsidR="00D56E61" w:rsidRDefault="000044CD">
      <w:pPr>
        <w:pStyle w:val="Zwischentitel"/>
      </w:pPr>
      <w:r>
        <w:t>Schlecht für Versicherte</w:t>
      </w:r>
    </w:p>
    <w:p w14:paraId="0F66DB4B" w14:textId="77777777" w:rsidR="00D56E61" w:rsidRDefault="000044CD">
      <w:r>
        <w:t xml:space="preserve">Der VdK kritisiert, dass sich die geplanten Vorhaben im Gesundheitswesen nicht an sozialer Gerechtigkeit und Solidarität orientieren, sondern an vorgegebenen Einsparzielen. „Die Versicherten dürfen bei den angestrebten Reformen am Ende nicht die Leidtragenden sein“, macht die VdK-Präsidentin deutlich. </w:t>
      </w:r>
    </w:p>
    <w:p w14:paraId="77F78557" w14:textId="77777777" w:rsidR="00D56E61" w:rsidRDefault="000044CD">
      <w:r>
        <w:t xml:space="preserve">Ein Gesetzentwurf mit den geplanten Reformen soll in den nächsten Wochen ins Kabinett eingebracht werden. Ziel ist es, dass der Bundestag noch vor der Sommerpause darüber entscheidet. Ob das Krankengeld zukünftig eingeschränkt wird oder gesundheitsbezogene Steuern erhöht werden – wie von der Expertenkommission vorgeschlagen – ist bei Redaktionsschluss dieser Ausgabe noch unklar. Die Ministerin erklärte, sie befürworte es ausdrücklich, neben Alkohol und Tabak auch eine mögliche Zuckersteuer zu prüfen. Darüber soll innerhalb der Bundesregierung weiter beraten werden. </w:t>
      </w:r>
      <w:r>
        <w:rPr>
          <w:b/>
        </w:rPr>
        <w:t>Jörg Ciszewski</w:t>
      </w:r>
    </w:p>
    <w:p w14:paraId="6DC3442D" w14:textId="77777777" w:rsidR="00D56E61" w:rsidRDefault="000044CD">
      <w:pPr>
        <w:pStyle w:val="berschrift1"/>
      </w:pPr>
      <w:bookmarkStart w:id="17" w:name="_Toc227740054"/>
      <w:r>
        <w:t>Überkreuz-Spende erlaubt</w:t>
      </w:r>
      <w:bookmarkEnd w:id="17"/>
    </w:p>
    <w:p w14:paraId="771B7000" w14:textId="77777777" w:rsidR="00D56E61" w:rsidRDefault="000044CD">
      <w:pPr>
        <w:pStyle w:val="Standard-Fett"/>
      </w:pPr>
      <w:r>
        <w:t xml:space="preserve">Neue Regelung erleichtert Lebendnierenspenden </w:t>
      </w:r>
    </w:p>
    <w:p w14:paraId="72A4A15D" w14:textId="77777777" w:rsidR="00D56E61" w:rsidRDefault="000044CD">
      <w:pPr>
        <w:pStyle w:val="Vorspann"/>
      </w:pPr>
      <w:r>
        <w:t>Künftig sind Lebendnierenspenden auch „über Kreuz“ möglich. Diese Änderung des Transplantationsgesetzes hat der Bundestag kürzlich verabschiedet. Zudem soll sich der Schutz von Spenderinnen und Spendern verbessern. Das Gesetz muss noch vom Bundesrat beschlossen werden.</w:t>
      </w:r>
    </w:p>
    <w:p w14:paraId="30CF663F" w14:textId="77777777" w:rsidR="00D56E61" w:rsidRDefault="000044CD">
      <w:r>
        <w:lastRenderedPageBreak/>
        <w:t xml:space="preserve">Bisher kam eine Lebendnierenspende nur zwischen sich nahestehenden Personen wie Eltern, Geschwistern oder Lebensgefährten infrage. Häufig schlossen jedoch Unverträglichkeiten eine solche Transplantation aus. </w:t>
      </w:r>
    </w:p>
    <w:p w14:paraId="1F92434C" w14:textId="77777777" w:rsidR="00D56E61" w:rsidRDefault="000044CD">
      <w:r>
        <w:t>Nun können sich zwei oder mehr Paare aus Spendern und Empfängern bei einer Überkreuz-Spende gegenseitig helfen, wenn eine direkte Nierenspende unter den beiden sich nahestehenden Personen nicht möglich ist. Zudem können sich auch Spender ohne festen Empfänger beteiligen. Dadurch können ganze Spendenketten entstehen.</w:t>
      </w:r>
    </w:p>
    <w:p w14:paraId="492C8E3B" w14:textId="77777777" w:rsidR="00D56E61" w:rsidRDefault="000044CD">
      <w:r>
        <w:t>Um Spender und Empfänger zusammenzubringen und die Zahl der Spenden zu erhöhen, sollen ein nationales Programm für die Überkreuz-Lebendnierenspende sowie ein Pool inkompatibler Spender-Empfänger-Paare aufgebaut werden. Ende 2024 warteten rund 6400 Menschen in Deutschland auf eine Spenderniere.</w:t>
      </w:r>
    </w:p>
    <w:p w14:paraId="4D593C2F" w14:textId="77777777" w:rsidR="00D56E61" w:rsidRDefault="000044CD">
      <w:r>
        <w:t xml:space="preserve">Zudem soll sich der Schutz der Spenderinnen und Spender von Organen und Geweben verbessern. Eine unabhängige psychosoziale Beratung sowie eine individuelle Betreuung im Transplantationszentrum über den gesamten </w:t>
      </w:r>
      <w:proofErr w:type="spellStart"/>
      <w:r>
        <w:t>Spendeprozess</w:t>
      </w:r>
      <w:proofErr w:type="spellEnd"/>
      <w:r>
        <w:t xml:space="preserve"> hinweg sollen verpflichtend werden. </w:t>
      </w:r>
      <w:proofErr w:type="spellStart"/>
      <w:r>
        <w:rPr>
          <w:b/>
        </w:rPr>
        <w:t>ken</w:t>
      </w:r>
      <w:proofErr w:type="spellEnd"/>
    </w:p>
    <w:p w14:paraId="7366AD3D" w14:textId="77777777" w:rsidR="00D56E61" w:rsidRDefault="000044CD">
      <w:pPr>
        <w:pStyle w:val="berschrift1"/>
      </w:pPr>
      <w:bookmarkStart w:id="18" w:name="_Toc227740055"/>
      <w:r>
        <w:t>Sparpotenzial bei Verwaltungskosten</w:t>
      </w:r>
      <w:bookmarkEnd w:id="18"/>
    </w:p>
    <w:p w14:paraId="4510F904" w14:textId="77777777" w:rsidR="00D56E61" w:rsidRDefault="000044CD">
      <w:pPr>
        <w:pStyle w:val="Standard-Fett"/>
      </w:pPr>
      <w:r>
        <w:t>Vielzahl an gesetzlichen Krankenkassen treibt Ausgaben in die Höhe</w:t>
      </w:r>
    </w:p>
    <w:p w14:paraId="372DF209" w14:textId="77777777" w:rsidR="00D56E61" w:rsidRDefault="000044CD">
      <w:pPr>
        <w:pStyle w:val="Vorspann"/>
      </w:pPr>
      <w:r>
        <w:t>In Deutschland gibt es 93 gesetzliche Krankenkassen. Markus Blumenthal-Beier, Verbandschef der Hausärztinnen und Hausärzte, hatte gefordert, dass diese wegen des finanziellen Drucks deutlich bei den Verwaltungskosten sparen müssten. Dafür spricht sich auch der Sozialverband VdK aus.</w:t>
      </w:r>
    </w:p>
    <w:p w14:paraId="78AB061A" w14:textId="77777777" w:rsidR="00D56E61" w:rsidRDefault="000044CD">
      <w:r>
        <w:t>„Die Krankenkassen können ja mal ihre Mitglieder fragen, wofür sie ihre Beiträge lieber zahlen: Dafür, dass sie auch in Zukunft noch eine Hausarztpraxis finden, oder dafür, mehr als 90 Kassen zu finanzieren“, hatte der Bundesvorsitzende des Hausärztinnen- und Hausärzteverbandes, Markus Blumenthal-Beier, kürzlich der „Rheinischen Post“ gesagt. Mittelfristig müssten die Kassen ihre Verwaltungskosten „dringend halbieren“, so seine Forderung.</w:t>
      </w:r>
    </w:p>
    <w:p w14:paraId="5416148C" w14:textId="77777777" w:rsidR="00D56E61" w:rsidRDefault="000044CD">
      <w:r>
        <w:t xml:space="preserve">Damit hat der Verbandschef einen Punkt angesprochen, auf den auch der Sozialverband VdK in der Vergangenheit wiederholt hingewiesen hat. „In vielen Debatten rund um die Konsolidierung der Krankenkassen werden Leistungskürzungen ins Spiel gebracht. Das verunsichert viele Menschen“, erklärt VdK-Präsidentin Verena Bentele. Dass nun die Verwaltungs- und Werbekostenbudgets für die gesetzlichen Krankenkassen im nächsten Jahr gedeckelt werden sollen, um Kosten zu sparen, begrüßt der VdK. Diese Maßnahme ist Teil des neuen Reformpakets von Bundesgesundheits-ministerin Nina Warken (siehe Artikel oben). </w:t>
      </w:r>
    </w:p>
    <w:p w14:paraId="6E1F177F" w14:textId="77777777" w:rsidR="00D56E61" w:rsidRDefault="000044CD">
      <w:pPr>
        <w:pStyle w:val="Zwischentitel"/>
      </w:pPr>
      <w:r>
        <w:t>Doppelte Strukturen</w:t>
      </w:r>
    </w:p>
    <w:p w14:paraId="39D55EC5" w14:textId="77777777" w:rsidR="00D56E61" w:rsidRDefault="000044CD">
      <w:r>
        <w:lastRenderedPageBreak/>
        <w:t>Angesichts der steigenden Kosten und der wachsenden Bürokratie im Gesundheitssystem, sei es unverständlich, dass es aktuell 93 gesetzliche Krankenkassen gebe, so Bentele. „Diese Kleinteiligkeit schafft unnötige Doppelstrukturen und bindet erhebliche Beitragsmittel in der Verwaltung und im Marketing. Hier geht es um Milliardenbeträge, die direkt in die Versorgung der Patientinnen und Patienten fließen sollten“, sagt die VdK-Präsidentin. Zu der Frage, ob die Vielzahl der gesetzlichen Krankenkassen eine Zukunft hat, soll es im zweiten Bericht der Finanzkommission Gesundheit noch in diesem Jahr Vorschläge geben. Bentele macht deutlich, dass der VdK eine Reduzierung begrüßen würde. „Leistungen einzuschränken, kommt aber nicht in Frage. Die bestehenden Strukturen sollten vielmehr zielgerichtet und stärker im Sinne der Versicherten genutzt werden“, so Bentele.</w:t>
      </w:r>
    </w:p>
    <w:p w14:paraId="49A17A51" w14:textId="77777777" w:rsidR="00D56E61" w:rsidRDefault="000044CD">
      <w:r>
        <w:t xml:space="preserve">Mittelfristig sieht der VdK als Lösung die Einführung einer einheitlichen, solidarischen Krankenversicherung, in die auch bislang Privatversicherte einzahlen.  „Eine einheitliche Krankenversicherung findet mittlerweile auch in der Bevölkerung großen Anklang. Sie wäre gerechter, würde die Zahl der Kassen weiter reduzieren und könnte die Beiträge deutlich senken“, erklärt die VdK-Präsidentin. </w:t>
      </w:r>
    </w:p>
    <w:p w14:paraId="52DE4B98" w14:textId="77777777" w:rsidR="00D56E61" w:rsidRDefault="000044CD">
      <w:r>
        <w:t xml:space="preserve"> </w:t>
      </w:r>
      <w:r>
        <w:rPr>
          <w:b/>
        </w:rPr>
        <w:t>Jörg Ciszewski</w:t>
      </w:r>
    </w:p>
    <w:p w14:paraId="3506DBB7" w14:textId="77777777" w:rsidR="00D56E61" w:rsidRDefault="000044CD">
      <w:pPr>
        <w:pStyle w:val="berschrift1"/>
      </w:pPr>
      <w:bookmarkStart w:id="19" w:name="_Toc227740056"/>
      <w:r>
        <w:t>Versorgungspauschale für chronisch Kranke</w:t>
      </w:r>
      <w:bookmarkEnd w:id="19"/>
    </w:p>
    <w:p w14:paraId="6327B89F" w14:textId="77777777" w:rsidR="00D56E61" w:rsidRDefault="000044CD">
      <w:pPr>
        <w:pStyle w:val="Standard-Fett"/>
      </w:pPr>
      <w:r>
        <w:t>Unter bestimmten Voraussetzungen gilt eine Verordnung für zwei Quartale</w:t>
      </w:r>
    </w:p>
    <w:p w14:paraId="05E28DFF" w14:textId="77777777" w:rsidR="00D56E61" w:rsidRDefault="000044CD">
      <w:pPr>
        <w:pStyle w:val="Vorspann"/>
      </w:pPr>
      <w:r>
        <w:t>Eine neue hausärztliche Halbjahrespauschale soll chronisch kranke Patientinnen und Patienten entlasten. Sie müssen dann nicht mehr jedes Quartal in die Arztpraxis kommen. Die Regelung gilt ab 1. Juli dieses Jahres.</w:t>
      </w:r>
    </w:p>
    <w:p w14:paraId="5F6E2822" w14:textId="77777777" w:rsidR="00D56E61" w:rsidRDefault="000044CD">
      <w:r>
        <w:t xml:space="preserve"> Die Kassenärztliche Bundesvereinigung und der GKV-Spitzenverband haben sich im Bewertungsausschuss auf eine neue Versorgungspauschale für chronisch Kranke verständigt. Die Leistung tritt am 1. Juli in Kraft und soll die Abrechnung für Versicherte mit unkomplizierten chronischen Erkrankungen vereinfachen. Für bestimmte Erkrankungen ohne intensiven Betreuungsaufwand sieht sie vor, dass Betroffene nicht mehr jedes Quartal zur Hausarztpraxis müssen, sondern nur noch einmal in zwei Quartalen. </w:t>
      </w:r>
    </w:p>
    <w:p w14:paraId="2006788B" w14:textId="77777777" w:rsidR="00D56E61" w:rsidRDefault="000044CD">
      <w:r>
        <w:t xml:space="preserve">Die Anwendung dieser Halbjahrespauschale ist an bestimmte Voraussetzungen geknüpft. Der Patient beziehungsweise die Patientin muss zwischen 18 und 74 Jahren alt sein und an einer definierten Erkrankung leiden. Dabei handelt es sich um bestimmte Schilddrüsenerkrankungen (Hypothyreose und Autoimmunthyreoiditis), Fettstoffwechselstörungen (Störungen des Lipoproteinstoffwechsels und sonstige </w:t>
      </w:r>
      <w:proofErr w:type="spellStart"/>
      <w:r>
        <w:t>Lipidämien</w:t>
      </w:r>
      <w:proofErr w:type="spellEnd"/>
      <w:r>
        <w:t xml:space="preserve">), essentielle (primäre) Hypertonie ohne Vorliegen einer hypertensiven Krise und idiopathische Gicht. Weitere Voraussetzungen sind, </w:t>
      </w:r>
      <w:r>
        <w:lastRenderedPageBreak/>
        <w:t>dass eine kontinuierliche Behandlung mit nur einem verschreibungspflichtigen Medikament vorliegt und der Patient oder die Patientin in den vergangenen vier Quartalen mindestens zweimal persönlich in der Praxis behandelt worden ist.</w:t>
      </w:r>
    </w:p>
    <w:p w14:paraId="334B3E52" w14:textId="77777777" w:rsidR="00D56E61" w:rsidRDefault="000044CD">
      <w:pPr>
        <w:pStyle w:val="Zwischentitel"/>
      </w:pPr>
      <w:r>
        <w:t>Weniger Arztbesuche</w:t>
      </w:r>
    </w:p>
    <w:p w14:paraId="68A290C0" w14:textId="77777777" w:rsidR="00D56E61" w:rsidRDefault="000044CD">
      <w:r>
        <w:t xml:space="preserve">Der Sozialverband VdK begrüßt diese Regelung. Sie entlastet chronisch Erkrankte und Arztpraxen, weil unnötige Patientenkontakte vermieden werden. Zudem fallen Arztbesuche, die allein aus wirtschaftlichen Interessen terminiert werden, dadurch weg. Der VdK erwartet, dass Ärztinnen und Ärzte chronisch Erkrankte auch dann weiter behandeln, wenn sie aufgrund der bereits ausgezahlten </w:t>
      </w:r>
      <w:proofErr w:type="spellStart"/>
      <w:r>
        <w:t>Chronikerpauschale</w:t>
      </w:r>
      <w:proofErr w:type="spellEnd"/>
      <w:r>
        <w:t xml:space="preserve"> keine weitere Vergütung mehr in einem Quartal erhalten. </w:t>
      </w:r>
    </w:p>
    <w:p w14:paraId="3F980219" w14:textId="77777777" w:rsidR="00D56E61" w:rsidRDefault="000044CD">
      <w:r>
        <w:t xml:space="preserve">Unabhängig von der neuen Regelung sollten Ärztinnen und Ärzte nach Ansicht des VdK viel stärker von der bereits bestehenden Möglichkeit einer Wiederholungsverordnung Gebrauch machen. Sie ermöglicht, Medikamente für chronisch Kranke so zu verschreiben, dass diese bis zu viermal mit demselben Rezept in der Apotheke abgeholt werden können. Das wäre eine große Entlastung, weil für die Folgelieferung desselben Medikaments kein erneuter Arztbesuch oder Telefonanruf im selben Jahr mehr nötig ist.  </w:t>
      </w:r>
      <w:r>
        <w:rPr>
          <w:b/>
        </w:rPr>
        <w:t>Jörg Ciszewski</w:t>
      </w:r>
    </w:p>
    <w:p w14:paraId="45954595" w14:textId="77777777" w:rsidR="00D56E61" w:rsidRDefault="000044CD">
      <w:pPr>
        <w:pStyle w:val="berschrift1"/>
      </w:pPr>
      <w:bookmarkStart w:id="20" w:name="_Toc227740057"/>
      <w:r>
        <w:t>Augen auf beim Reha-Entlassungsbericht</w:t>
      </w:r>
      <w:bookmarkEnd w:id="20"/>
    </w:p>
    <w:p w14:paraId="0A9B506E" w14:textId="77777777" w:rsidR="00D56E61" w:rsidRDefault="000044CD">
      <w:pPr>
        <w:pStyle w:val="Standard-Fett"/>
      </w:pPr>
      <w:r>
        <w:t xml:space="preserve">Dokument ist bei der Beurteilung einer Erwerbsminderung durch die Rentenversicherung von zentraler Bedeutung </w:t>
      </w:r>
    </w:p>
    <w:p w14:paraId="036943A3" w14:textId="77777777" w:rsidR="00D56E61" w:rsidRDefault="000044CD">
      <w:pPr>
        <w:pStyle w:val="Vorspann"/>
      </w:pPr>
      <w:r>
        <w:t>Nach einer Reha-Maßnahme erhält der Patient oder die Patientin einen Entlassungsbericht. Für die Rentenversicherung ist es das wichtigste Dokument, wenn sie dann über einen Antrag auf Erwerbsminderung entscheiden muss. Wenn der Bericht nicht den Tatsachen entspricht, kann das weitreichende Folgen haben.</w:t>
      </w:r>
    </w:p>
    <w:p w14:paraId="7854761D" w14:textId="77777777" w:rsidR="00D56E61" w:rsidRDefault="000044CD">
      <w:r>
        <w:t>Der Reha-Entlassungsbericht fasst den Verlauf der Behandlungen zusammen und dient der Information der weiterbehandelnden Hausärztinnen und Fachärzte. Gleichzeitig ist er ein wichtiger Nachweis für den Leistungserbringer, in den allermeisten Fällen handelt es sich dabei um die Deutsche Rentenversicherung (DRV).</w:t>
      </w:r>
    </w:p>
    <w:p w14:paraId="5B4435B0" w14:textId="77777777" w:rsidR="00D56E61" w:rsidRDefault="000044CD">
      <w:r>
        <w:t xml:space="preserve">Von besonderer Bedeutung ist die sozialmedizinische Leistungsbeurteilung. Sie informiert darüber, in welchem Umfang die betroffene Person nach Abschluss der Reha noch arbeitsfähig ist. </w:t>
      </w:r>
    </w:p>
    <w:p w14:paraId="62CC8437" w14:textId="77777777" w:rsidR="00D56E61" w:rsidRDefault="000044CD">
      <w:pPr>
        <w:pStyle w:val="Zwischentitel"/>
      </w:pPr>
      <w:r>
        <w:t>Wie leistungsfähig?</w:t>
      </w:r>
    </w:p>
    <w:p w14:paraId="5AF925AB" w14:textId="77777777" w:rsidR="00D56E61" w:rsidRDefault="000044CD">
      <w:r>
        <w:lastRenderedPageBreak/>
        <w:t xml:space="preserve">Dabei wird eingeschätzt, ob eine Tätigkeit im bisherigen Beruf täglich unter drei Stunden, zwischen drei und sechs Stunden oder mehr als sechs Stunden möglich ist. Zusätzlich wird die Leistungsfähigkeit auf dem allgemeinen Arbeitsmarkt bewertet. </w:t>
      </w:r>
    </w:p>
    <w:p w14:paraId="2326FC58" w14:textId="77777777" w:rsidR="00D56E61" w:rsidRDefault="000044CD">
      <w:r>
        <w:t>Bei der Beurteilung, ob die Entlassung aus der Reha arbeitsfähig oder arbeitsunfähig erfolgt, ist es wichtig, zwischen Arbeitsunfähigkeit und Erwerbsminderung zu unterscheiden: Während Arbeitsunfähigkeit bedeutet, dass jemand vorübergehend – etwa aufgrund einer akuten Erkrankung oder Verletzung – nicht arbeiten kann, beschreibt die Erwerbsminderung eine längerfristige Einschränkung der Leistungsfähigkeit.</w:t>
      </w:r>
    </w:p>
    <w:p w14:paraId="29AB930A" w14:textId="77777777" w:rsidR="00D56E61" w:rsidRDefault="000044CD">
      <w:r>
        <w:t>Neben der Patientin oder dem Patienten sowie der Rentenversicherung können auch weitere Stellen den Entlassungsbericht erhalten. Es bedarf allerdings der Zustimmung des oder der Betroffenen, dass beispielsweise Ärztinnen und Ärzte sowie die Krankenkasse informiert werden. Dies kann sinnvoll sein, um eine lückenlose Weiterbehandlung zu gewährleisten.</w:t>
      </w:r>
    </w:p>
    <w:p w14:paraId="36349CA8" w14:textId="77777777" w:rsidR="00D56E61" w:rsidRDefault="000044CD">
      <w:r>
        <w:t xml:space="preserve">Wenn die betroffene Person mit dem Inhalt des Reha-Entlassungsberichts nicht einverstanden ist, besteht keine Möglichkeit, direkt Widerspruch dagegen einzulegen, da es sich nicht um einen rechtsmittelfähigen Bescheid handelt. </w:t>
      </w:r>
    </w:p>
    <w:p w14:paraId="1B6AB173" w14:textId="77777777" w:rsidR="00D56E61" w:rsidRDefault="000044CD">
      <w:pPr>
        <w:pStyle w:val="Zwischentitel"/>
      </w:pPr>
      <w:r>
        <w:t>Strittige Punkte</w:t>
      </w:r>
    </w:p>
    <w:p w14:paraId="67264924" w14:textId="77777777" w:rsidR="00D56E61" w:rsidRDefault="000044CD">
      <w:r>
        <w:t>Dennoch kann die Patientin oder der Patient eine schriftliche Stellungnahme verfassen, in der die strittigen Punkte und die eigene Sichtweise nachvollziehbar dargelegt werden. Diese Stellungnahme wird dem Bericht beigefügt und kann bei späteren Entscheidungen berücksichtigt werden.</w:t>
      </w:r>
    </w:p>
    <w:p w14:paraId="42D0C50B" w14:textId="77777777" w:rsidR="00D56E61" w:rsidRDefault="000044CD">
      <w:r>
        <w:t>Der Reha-Entlassungsbericht hat erheblichen Einfluss auf die Entscheidung über einen Antrag auf Erwerbsminderungsrente. Häufig orientiert sich die DRV an den darin enthaltenen Einschätzungen. Stimmen diese nicht mit der tatsächlichen gesundheitlichen Situation überein, kann dies zu einer Ablehnung des Rentenantrags führen. Dann ist es möglich, gegen den Ablehnungsbescheid Widerspruch einzulegen. Denn dieser Ablehnungsbescheid ist ein rechtsmittelfähiger Bescheid.</w:t>
      </w:r>
    </w:p>
    <w:p w14:paraId="5E23FE1A" w14:textId="77777777" w:rsidR="00D56E61" w:rsidRDefault="000044CD">
      <w:pPr>
        <w:pStyle w:val="Zwischentitel"/>
      </w:pPr>
      <w:r>
        <w:t>VdK hilft bei Ablehnung</w:t>
      </w:r>
    </w:p>
    <w:p w14:paraId="25D813BF" w14:textId="77777777" w:rsidR="00D56E61" w:rsidRDefault="000044CD">
      <w:r>
        <w:t xml:space="preserve">Der Sozialverband VdK Deutschland kann in solchen Fällen Betroffene unterstützen, indem er den Ablehnungsbescheid prüft und fristgerecht widerspricht. Dabei helfen seine Juristinnen und Juristen, die Begründung der Ablehnung – etwa eine fehlerhafte Einschätzung im Reha-Entlassungsbericht – gezielt anzugreifen. </w:t>
      </w:r>
    </w:p>
    <w:p w14:paraId="6D7A5A3B" w14:textId="77777777" w:rsidR="00D56E61" w:rsidRDefault="000044CD">
      <w:r>
        <w:t>Der VdK kann dazu beraten, zusätzliche medizinische Unterlagen oder Stellungnahmen behandelnder Ärztinnen und Ärzte einzureichen, um die tatsächliche Leistungsfähigkeit besser darzustellen. Falls es notwendig ist, begleitet der VdK seine Mitglieder auch durch ein Klageverfahren vor dem Sozialgericht.</w:t>
      </w:r>
    </w:p>
    <w:p w14:paraId="09E46D18" w14:textId="77777777" w:rsidR="00D56E61" w:rsidRDefault="000044CD">
      <w:r>
        <w:t xml:space="preserve"> </w:t>
      </w:r>
      <w:r>
        <w:rPr>
          <w:b/>
        </w:rPr>
        <w:t xml:space="preserve"> Jörg Ciszewski</w:t>
      </w:r>
    </w:p>
    <w:p w14:paraId="1B39D550" w14:textId="77777777" w:rsidR="00D56E61" w:rsidRDefault="000044CD">
      <w:pPr>
        <w:pStyle w:val="berschrift1"/>
      </w:pPr>
      <w:bookmarkStart w:id="21" w:name="_Toc227740058"/>
      <w:r>
        <w:lastRenderedPageBreak/>
        <w:t>Mehr als nur Medikamente</w:t>
      </w:r>
      <w:bookmarkEnd w:id="21"/>
    </w:p>
    <w:p w14:paraId="14B91C42" w14:textId="77777777" w:rsidR="00D56E61" w:rsidRDefault="000044CD">
      <w:pPr>
        <w:pStyle w:val="Standard-Fett"/>
      </w:pPr>
      <w:r>
        <w:t>Pharmazeutische Dienstleistungen der Apotheken</w:t>
      </w:r>
    </w:p>
    <w:p w14:paraId="1C7DBA50" w14:textId="77777777" w:rsidR="00D56E61" w:rsidRDefault="000044CD">
      <w:pPr>
        <w:pStyle w:val="Vorspann"/>
      </w:pPr>
      <w:r>
        <w:t>In Deutschland nutzen immer mehr Menschen die sogenannten pharmazeutischen Dienstleistungen (</w:t>
      </w:r>
      <w:proofErr w:type="spellStart"/>
      <w:r>
        <w:t>pDL</w:t>
      </w:r>
      <w:proofErr w:type="spellEnd"/>
      <w:r>
        <w:t>) der Apotheken. Gleichzeitig erweitern auch immer mehr Apotheken ihr Angebot um diese speziellen Leistungen.</w:t>
      </w:r>
    </w:p>
    <w:p w14:paraId="1E615A98" w14:textId="77777777" w:rsidR="00D56E61" w:rsidRDefault="000044CD">
      <w:r>
        <w:t xml:space="preserve">Laut Bundesvereinigung Deutscher Apothekerverbände (ABDA) haben im dritten Quartal 2025 rund 8800 von insgesamt 16 600 Apotheken in Deutschland </w:t>
      </w:r>
      <w:proofErr w:type="spellStart"/>
      <w:r>
        <w:t>pDL</w:t>
      </w:r>
      <w:proofErr w:type="spellEnd"/>
      <w:r>
        <w:t xml:space="preserve"> angeboten. Im Jahr zuvor waren es im gleichen Zeitraum noch etwa 7900 Apotheken. Insgesamt wurden rund 216 000 solcher Leistungen erbracht – etwa 60 000 mehr als im Vorjahr. </w:t>
      </w:r>
    </w:p>
    <w:p w14:paraId="17DD304B" w14:textId="77777777" w:rsidR="00D56E61" w:rsidRDefault="000044CD">
      <w:r>
        <w:t xml:space="preserve">Unabhängig von der Medikamentengabe können Apotheken seit dem Jahr 2020 fünf </w:t>
      </w:r>
      <w:proofErr w:type="spellStart"/>
      <w:r>
        <w:t>pDL</w:t>
      </w:r>
      <w:proofErr w:type="spellEnd"/>
      <w:r>
        <w:t xml:space="preserve"> anbieten. Dazu zählen die erweiterte Medikationsberatung für Menschen, die mehrere Arzneimittel gleichzeitig einnehmen. Sie bieten auch Schulungen für Patientinnen und Patienten an, die etwa unter COPD oder Asthma bronchiale leiden, um die richtige Anwendung von Inhalationsgeräten zu lernen. Zudem gehört die regelmäßige Blutdruckmessung mit anschließender Beratung bei Hypertonie dazu. Apothekerinnen und Apotheker können zudem Patientinnen und Patienten bei einer Krebstherapie mit Tabletten sowie bei immunsuppressiven Therapien, etwa nach einer Transplantation, beraten und betreuen. </w:t>
      </w:r>
    </w:p>
    <w:p w14:paraId="1B927421" w14:textId="77777777" w:rsidR="00D56E61" w:rsidRDefault="000044CD">
      <w:r>
        <w:t xml:space="preserve">Gesetzlich </w:t>
      </w:r>
      <w:proofErr w:type="spellStart"/>
      <w:r>
        <w:t>versicherte</w:t>
      </w:r>
      <w:proofErr w:type="spellEnd"/>
      <w:r>
        <w:t xml:space="preserve"> Patientinnen und Patienten haben einen Anspruch auf diese fünf </w:t>
      </w:r>
      <w:proofErr w:type="spellStart"/>
      <w:r>
        <w:t>pDL</w:t>
      </w:r>
      <w:proofErr w:type="spellEnd"/>
      <w:r>
        <w:t xml:space="preserve">. Wer sie nutzen möchte, sollte in der Apotheke aktiv nachfragen und sich beraten lassen, welche der Angebote für die eigene Therapie besonders geeignet sind. </w:t>
      </w:r>
    </w:p>
    <w:p w14:paraId="5C7DE962" w14:textId="77777777" w:rsidR="00D56E61" w:rsidRDefault="000044CD">
      <w:r>
        <w:t xml:space="preserve">Die Inanspruchnahme erfolgt nach einer schriftlichen Vereinbarung mit der Apotheke. Hier müssen Patientinnen und Patienten bestätigen, dass sie die Voraussetzungen erfüllen. Zudem müssen sie den Erhalt der Leistung quittieren. Die Abrechnung erfolgt direkt zwischen Apotheke und Krankenkasse, sodass keine zusätzliche Zuzahlung anfällt. </w:t>
      </w:r>
      <w:proofErr w:type="spellStart"/>
      <w:r>
        <w:rPr>
          <w:b/>
        </w:rPr>
        <w:t>ken</w:t>
      </w:r>
      <w:proofErr w:type="spellEnd"/>
    </w:p>
    <w:p w14:paraId="656F34CF" w14:textId="77777777" w:rsidR="00D56E61" w:rsidRDefault="000044CD">
      <w:pPr>
        <w:pStyle w:val="berschrift1"/>
      </w:pPr>
      <w:bookmarkStart w:id="22" w:name="_Toc227740059"/>
      <w:r>
        <w:t>Alltag mit Asthma</w:t>
      </w:r>
      <w:bookmarkEnd w:id="22"/>
    </w:p>
    <w:p w14:paraId="7649CBBA" w14:textId="77777777" w:rsidR="00D56E61" w:rsidRDefault="000044CD">
      <w:pPr>
        <w:pStyle w:val="Standard-Fett"/>
      </w:pPr>
      <w:r>
        <w:t>Über das Leben mit der Lungenerkrankung – Deutscher Allergie- und Asthmabund berät Betroffene</w:t>
      </w:r>
    </w:p>
    <w:p w14:paraId="0819994E" w14:textId="77777777" w:rsidR="00D56E61" w:rsidRDefault="000044CD">
      <w:pPr>
        <w:pStyle w:val="Vorspann"/>
      </w:pPr>
      <w:r>
        <w:t>Wer selbst schon einmal Atemnot hatte, weiß, wie schlimm sich das in diesem Moment anfühlt. Ein Betroffener berichtet über sein Leben mit einer chronischen Asthmaerkrankung.</w:t>
      </w:r>
    </w:p>
    <w:p w14:paraId="591B0D31" w14:textId="77777777" w:rsidR="00D56E61" w:rsidRDefault="000044CD">
      <w:r>
        <w:lastRenderedPageBreak/>
        <w:t xml:space="preserve">Asthma betrifft viele – jung wie alt. Die Deutsche Gesellschaft für Pneumologie spricht von bundesweit 6,7 Millionen Menschen. Einer davon ist Dr. Georg Kneer. Er erkrankte schon als Kleinkind. „Es fing im Alter von sechs Monaten mit einer chronischen Bronchitis an, die dann zu Asthma wurde.“ </w:t>
      </w:r>
    </w:p>
    <w:p w14:paraId="7DD5F20E" w14:textId="77777777" w:rsidR="00D56E61" w:rsidRDefault="000044CD">
      <w:r>
        <w:t>Bei dieser Erkrankung ist die ganze Familie betroffen, sagt Georg Kneer. Wenn ein Kind Atemnot bekommt, ist das für alle schrecklich. Um die Beschwerden zu lindern, sind seine Eltern mit ihm jeden Sommer an die Nordsee gefahren, bis er 14 Jahre alt war. „Meiner Gesundheit hat das bestimmt gutgetan. Aber es gibt kein Patentrezept“, sagt er. Nicht nur die Wahl des Urlaubsorts spielt für Menschen, die mit Asthma leben, eine Rolle, sondern auch der Wohnort. Georg Kneer kann beispielsweise nicht in einer Flussniederung leben. Die Luft in etwas erhöhten Lagen bekommt seiner Lunge besser.</w:t>
      </w:r>
    </w:p>
    <w:p w14:paraId="13B3FA73" w14:textId="77777777" w:rsidR="00D56E61" w:rsidRDefault="000044CD">
      <w:pPr>
        <w:pStyle w:val="Zwischentitel"/>
      </w:pPr>
      <w:r>
        <w:t>Ausgeschlossen sein</w:t>
      </w:r>
    </w:p>
    <w:p w14:paraId="7A9BCEE3" w14:textId="77777777" w:rsidR="00D56E61" w:rsidRDefault="000044CD">
      <w:r>
        <w:t xml:space="preserve">Der heute 64-Jährige erinnert sich an Situationen in seiner Jugend, in denen er sich wegen seiner Erkrankung ausgeschlossen fühlte. So waren Partys oder Restaurantbesuche, wo geraucht wurde, problematisch. „Ich bin nie ohne Notfall-Spray aus dem Haus.“ </w:t>
      </w:r>
    </w:p>
    <w:p w14:paraId="465CD4BF" w14:textId="77777777" w:rsidR="00D56E61" w:rsidRDefault="000044CD">
      <w:r>
        <w:t xml:space="preserve">Seit dem Nichtraucherschutzgesetz, das bundesweit am 1. Juli 2008 in Kraft trat, gehört das Passivrauchen an solchen Orten zum Glück der Vergangenheit an. Dennoch muss man als lungenkranker Mensch Vorkehrungen treffen. So besuchte Georg Kneer erst vor Kurzem ein Theaterstück. „Plötzlich wurde die Bühne mit Rauch </w:t>
      </w:r>
      <w:proofErr w:type="spellStart"/>
      <w:r>
        <w:t>zugepustet</w:t>
      </w:r>
      <w:proofErr w:type="spellEnd"/>
      <w:r>
        <w:t>.“</w:t>
      </w:r>
    </w:p>
    <w:p w14:paraId="725A8E02" w14:textId="77777777" w:rsidR="00D56E61" w:rsidRDefault="000044CD">
      <w:pPr>
        <w:pStyle w:val="Zwischentitel"/>
      </w:pPr>
      <w:r>
        <w:t>Wenig Verständnis</w:t>
      </w:r>
    </w:p>
    <w:p w14:paraId="1706CEC7" w14:textId="77777777" w:rsidR="00D56E61" w:rsidRDefault="000044CD">
      <w:r>
        <w:t xml:space="preserve">Neben Rauch können auch Duftstoffe Probleme machen. Georg Kneer meidet Parfümerien und kritisiert, dass heute viele Geschäfte Raumdüfte einsetzen. „Duftstoffe können die Lunge reizen.“ </w:t>
      </w:r>
    </w:p>
    <w:p w14:paraId="7B375911" w14:textId="77777777" w:rsidR="00D56E61" w:rsidRDefault="000044CD">
      <w:r>
        <w:t xml:space="preserve">Er beobachtet nach wie vor, dass Allergien wie auch Asthma in der Bevölkerung allzu oft als harmlose Erkrankung wahrgenommen werden. „Manche Erkrankte kapseln sich ab, weil sie auf wenig Verständnis stoßen“, bedauert er. Mit seinen Erfahrungen macht er anderen Betroffenen Mut, offen damit umzugehen. </w:t>
      </w:r>
    </w:p>
    <w:p w14:paraId="1560EAE6" w14:textId="77777777" w:rsidR="00D56E61" w:rsidRDefault="000044CD">
      <w:r>
        <w:t>„Mein Asthma habe ich unter Kontrolle“, sagt Georg Kneer. Auch dank der Therapien kann er ein relativ normales Leben führen. Dazu gehört auch Sport. „Bewegung stärkt die Lungenfunktion. Ich nehme mein Asthma-Spray vor dem Training.“</w:t>
      </w:r>
    </w:p>
    <w:p w14:paraId="422027A3" w14:textId="77777777" w:rsidR="00D56E61" w:rsidRDefault="000044CD">
      <w:r>
        <w:t xml:space="preserve">Der Chemiker ist inzwischen in Rente und engagiert sich ehrenamtlich beim Deutschen Allergie- und Asthmabund (DAAB). Er gibt Informationen über aktuelle Entwicklungen zu Allergien und Atemwegserkrankungen weiter. Außerdem ist er Botschafter für die Forderungen des DAAB. Eine davon lautet: „Patientinnen und Patienten brauchen gesunde Luft. Das sollte politisch stärker wahrgenommen werden.“ </w:t>
      </w:r>
    </w:p>
    <w:p w14:paraId="669D66E3" w14:textId="77777777" w:rsidR="00D56E61" w:rsidRDefault="000044CD">
      <w:r>
        <w:t xml:space="preserve"> </w:t>
      </w:r>
      <w:r>
        <w:rPr>
          <w:b/>
        </w:rPr>
        <w:t>Elisabeth Antritter</w:t>
      </w:r>
    </w:p>
    <w:p w14:paraId="3F810807" w14:textId="77777777" w:rsidR="00D56E61" w:rsidRDefault="000044CD">
      <w:r>
        <w:t>Online-Aktion</w:t>
      </w:r>
    </w:p>
    <w:p w14:paraId="541DCE28" w14:textId="77777777" w:rsidR="00D56E61" w:rsidRDefault="000044CD">
      <w:r>
        <w:t xml:space="preserve">Am 5. Mai ist Welt-Asthmatag. Aus diesem Anlass veranstaltet der Deutsche Allergie- und Asthmabund einen kostenfreien „Online-Allergietag“, der unter dem Motto „Allergien heute – Atemwege, Haut und Immunsystem im Dialog“ steht. Ratsuchende erhalten aktuelles Wissen </w:t>
      </w:r>
      <w:r>
        <w:lastRenderedPageBreak/>
        <w:t>rund um Allergien, Asthma, Neurodermitis und Nahrungsmittelunverträglichkeiten. Fachleute informieren über moderne Behandlungsmöglichkeiten und geben Tipps für den Alltag. Teilnehmende können in den Live-Formaten Fragen stellen, die Expertinnen und Experten beantworten. Registrierung unter:</w:t>
      </w:r>
    </w:p>
    <w:p w14:paraId="167AB7AA" w14:textId="77777777" w:rsidR="00D56E61" w:rsidRDefault="000044CD">
      <w:r>
        <w:t xml:space="preserve"> </w:t>
      </w:r>
      <w:hyperlink r:id="rId9">
        <w:r>
          <w:rPr>
            <w:color w:val="0015B7"/>
          </w:rPr>
          <w:t>allergietag-online.de</w:t>
        </w:r>
      </w:hyperlink>
    </w:p>
    <w:p w14:paraId="7CE4B425" w14:textId="77777777" w:rsidR="00D56E61" w:rsidRDefault="000044CD">
      <w:pPr>
        <w:pStyle w:val="berschrift1"/>
      </w:pPr>
      <w:bookmarkStart w:id="23" w:name="_Toc227740060"/>
      <w:r>
        <w:t>Bei Schlaganfall schnell handeln</w:t>
      </w:r>
      <w:bookmarkEnd w:id="23"/>
    </w:p>
    <w:p w14:paraId="6CDFE2E7" w14:textId="77777777" w:rsidR="00D56E61" w:rsidRDefault="000044CD">
      <w:pPr>
        <w:pStyle w:val="Standard-Fett"/>
      </w:pPr>
      <w:r>
        <w:t xml:space="preserve">Oft stecken schon vorhandene Herzprobleme hinter Hirninfarkten – Behandlung in </w:t>
      </w:r>
      <w:proofErr w:type="spellStart"/>
      <w:r>
        <w:t>Stroke</w:t>
      </w:r>
      <w:proofErr w:type="spellEnd"/>
      <w:r>
        <w:t xml:space="preserve"> Units</w:t>
      </w:r>
    </w:p>
    <w:p w14:paraId="6410B4AC" w14:textId="77777777" w:rsidR="00D56E61" w:rsidRDefault="000044CD">
      <w:pPr>
        <w:pStyle w:val="Vorspann"/>
      </w:pPr>
      <w:r>
        <w:t xml:space="preserve">Wenn ganz plötzlich Probleme beim Sprechen, Bewegen oder Sehen auftreten, kann das ein Schlaganfall sein. Etwa 270 000 Menschen in Deutschland sind jährlich davon betroffen. </w:t>
      </w:r>
    </w:p>
    <w:p w14:paraId="6FF014F4" w14:textId="77777777" w:rsidR="00D56E61" w:rsidRDefault="000044CD">
      <w:r>
        <w:t xml:space="preserve">Häufig kommt es zu bleibenden Einschränkungen. Ein Schlaganfall kann aber auch tödlich sein. Die Situation ist in jedem Fall lebensbedrohlich. Es zählt jede Minute, um das Ausmaß der Schäden durch ein Absterben von Gehirnzellen so gering wie möglich zu halten. „Bei den meisten Betroffenen wird ein Gefäß im Gehirn durch ein Blutgerinnsel verschlossen. Dann spricht man von einem Hirninfarkt. In der Notfallsituation muss das verstopfte Gefäß wieder eröffnet werden. Platzt ein Gefäß im Gehirn, sodass Blut ins umliegende Gewebe austritt, ist dies eine Hirnblutung“, heißt es bei der Stiftung Deutsche Schlaganfall-Hilfe. Beide Formen müssen so schnell wie möglich medizinisch behandelt werden. </w:t>
      </w:r>
    </w:p>
    <w:p w14:paraId="6860D91D" w14:textId="77777777" w:rsidR="00D56E61" w:rsidRDefault="000044CD">
      <w:pPr>
        <w:pStyle w:val="Zwischentitel"/>
      </w:pPr>
      <w:r>
        <w:t>Gestörte Blutversorgung</w:t>
      </w:r>
    </w:p>
    <w:p w14:paraId="66760CC4" w14:textId="77777777" w:rsidR="00D56E61" w:rsidRDefault="000044CD">
      <w:r>
        <w:t xml:space="preserve">Häufig stecken Erkrankungen des Herz-Kreislauf-Systems oder Veränderungen der Gefäße dahinter. „Schlaganfälle und Herzinfarkte haben oft die gleiche Ursache. Steckt das Gerinnsel im Herzen fest, ist ein Herzinfarkt die Folge. Wird das Blutgerinnsel mit dem Blutstrom ins Gehirn getragen, droht ein Schlaganfall. Hinzu kommt, dass ein krankes Herz das Schlaganfall-Risiko erhöht“, so </w:t>
      </w:r>
      <w:proofErr w:type="gramStart"/>
      <w:r>
        <w:t>die  Deutsche</w:t>
      </w:r>
      <w:proofErr w:type="gramEnd"/>
      <w:r>
        <w:t xml:space="preserve"> Herzstiftung. Herzpatientinnen und -patienten sollten deshalb nicht nur ihr Herz im Blick behalten, sondern sich auch aktiv vor einem Schlaganfall schützen. 20 bis 30 Prozent der Schlaganfälle, bei denen ein Hirninfarkt </w:t>
      </w:r>
      <w:proofErr w:type="gramStart"/>
      <w:r>
        <w:t>vorliegt,  gehen</w:t>
      </w:r>
      <w:proofErr w:type="gramEnd"/>
      <w:r>
        <w:t xml:space="preserve"> laut Deutscher Herzstiftung auf die Herzrhythmusstörung Vorhofflimmern zurück.</w:t>
      </w:r>
    </w:p>
    <w:p w14:paraId="59D4B63C" w14:textId="77777777" w:rsidR="00D56E61" w:rsidRDefault="000044CD">
      <w:r>
        <w:t xml:space="preserve">„Der Schlaganfall ist die größte Gefahr, die vom Vorhofflimmern ausgeht. Vor allem ältere Patienten über 65 Jahre, bei denen gehäuft Herz-Kreislauf-Erkrankungen wie Bluthochdruck, Diabetes und koronare Herzkrankheit auftreten, haben ein hohes Risiko, Vorhofflimmern zu bekommen, und sollten sich regelmäßig daraufhin untersuchen lassen“, empfiehlt der Kardiologe und Privatdozent Dr. med. </w:t>
      </w:r>
      <w:proofErr w:type="spellStart"/>
      <w:r>
        <w:t>Gerian</w:t>
      </w:r>
      <w:proofErr w:type="spellEnd"/>
      <w:r>
        <w:t xml:space="preserve"> Grönefeld vom Wissenschaftlichen Beirat der Deutschen Herzstiftung. </w:t>
      </w:r>
    </w:p>
    <w:p w14:paraId="505FFF60" w14:textId="77777777" w:rsidR="00D56E61" w:rsidRDefault="000044CD">
      <w:pPr>
        <w:pStyle w:val="Zwischentitel"/>
      </w:pPr>
      <w:r>
        <w:t>Notruf wählen</w:t>
      </w:r>
    </w:p>
    <w:p w14:paraId="0DD4EF14" w14:textId="77777777" w:rsidR="00D56E61" w:rsidRDefault="000044CD">
      <w:r>
        <w:lastRenderedPageBreak/>
        <w:t xml:space="preserve">Prof. Dr. Darius G. </w:t>
      </w:r>
      <w:proofErr w:type="spellStart"/>
      <w:r>
        <w:t>Nabavi</w:t>
      </w:r>
      <w:proofErr w:type="spellEnd"/>
      <w:r>
        <w:t xml:space="preserve">, stellvertretender Kuratoriumsvorsitzender der Stiftung Deutsche Schlaganfall-Hilfe, betont: „Jede Minute ohne Behandlung verschlechtert die Chancen für eine Genesung. Mit dem Notruf 112 wird die Schlaganfall-Rettungskette in Gang gesetzt – vom Rettungsdienst bis zur strukturierten Versorgung in einer </w:t>
      </w:r>
      <w:proofErr w:type="spellStart"/>
      <w:r>
        <w:t>Stroke</w:t>
      </w:r>
      <w:proofErr w:type="spellEnd"/>
      <w:r>
        <w:t xml:space="preserve"> Unit.“ </w:t>
      </w:r>
      <w:proofErr w:type="spellStart"/>
      <w:r>
        <w:t>Stroke</w:t>
      </w:r>
      <w:proofErr w:type="spellEnd"/>
      <w:r>
        <w:t xml:space="preserve"> Units sind Spezialstationen, auf denen Schlaganfall-Betroffene in den ersten Tagen nach ihrem Schlaganfall behandelt werden. Dort sind die Expertinnen und Experten sowie die besten Geräte zur Behandlung. Ein Team von </w:t>
      </w:r>
      <w:proofErr w:type="spellStart"/>
      <w:r>
        <w:t>Fachärzten</w:t>
      </w:r>
      <w:proofErr w:type="spellEnd"/>
      <w:r>
        <w:t xml:space="preserve">, bestehend aus Neurologen, Kardiologen sowie Radiologen und teilweise auch Neuro- und </w:t>
      </w:r>
      <w:proofErr w:type="spellStart"/>
      <w:r>
        <w:t>Gefäßchirurgen</w:t>
      </w:r>
      <w:proofErr w:type="spellEnd"/>
      <w:r>
        <w:t xml:space="preserve">, arbeitet zusammen. </w:t>
      </w:r>
    </w:p>
    <w:p w14:paraId="3CE486A4" w14:textId="77777777" w:rsidR="00D56E61" w:rsidRDefault="000044CD">
      <w:r>
        <w:t xml:space="preserve">Rund 350 </w:t>
      </w:r>
      <w:proofErr w:type="spellStart"/>
      <w:r>
        <w:t>Stroke</w:t>
      </w:r>
      <w:proofErr w:type="spellEnd"/>
      <w:r>
        <w:t xml:space="preserve"> Units sind in Deutschland durch die Deutsche Schlaganfall-Gesellschaft (DSG) und die Stiftung Deutsche Schlaganfall-Hilfe zertifiziert. Fachleute empfehlen, Patientinnen und Patienten bei einem Schlaganfall-Verdacht immer in Kliniken mit einer solchen Spezialstation zu fahren. Die allermeisten Menschen in Deutschland können laut jüngster Bestandsaufnahmen in weniger als 30 Minuten eine </w:t>
      </w:r>
      <w:proofErr w:type="spellStart"/>
      <w:r>
        <w:t>Stroke</w:t>
      </w:r>
      <w:proofErr w:type="spellEnd"/>
      <w:r>
        <w:t xml:space="preserve"> Unit erreichen. Der Rettungsdienst nimmt die Erstversorgung vor, überprüft den Schlaganfall-Verdacht noch am Einsatzort mittels des sogenannten FAST-Tests und sorgt für den schnellen Transport in die Spezialklinik.</w:t>
      </w:r>
    </w:p>
    <w:p w14:paraId="260E1A25" w14:textId="77777777" w:rsidR="00D56E61" w:rsidRDefault="000044CD">
      <w:r>
        <w:t xml:space="preserve"> Folgen eines Schlaganfalls können Lähmungen, Konzentrations- und Sprachstörungen sein. Den meisten ist wenig bekannt, dass auch Depressionen und Ängste entstehen können. Weitere Infos gibt es unter www.herzstiftung.de/ihre-herzgesundheit/gesund-bleiben/schlaganfall oder www.schlaganfall-hilfe.de </w:t>
      </w:r>
      <w:r>
        <w:rPr>
          <w:b/>
        </w:rPr>
        <w:t>Petra J. Huschke</w:t>
      </w:r>
    </w:p>
    <w:p w14:paraId="060DCBBF" w14:textId="77777777" w:rsidR="00D56E61" w:rsidRDefault="000044CD">
      <w:pPr>
        <w:pStyle w:val="berschrift1"/>
      </w:pPr>
      <w:bookmarkStart w:id="24" w:name="_Toc227740061"/>
      <w:r>
        <w:t>Soziale Netzwerke auch bei Älteren immer beliebter</w:t>
      </w:r>
      <w:bookmarkEnd w:id="24"/>
    </w:p>
    <w:p w14:paraId="5A4E0ABE" w14:textId="77777777" w:rsidR="00D56E61" w:rsidRDefault="000044CD">
      <w:pPr>
        <w:pStyle w:val="Standard-Fett"/>
      </w:pPr>
      <w:r>
        <w:t>Nutzung hat in den vergangenen sechs Jahren stark zugenommen – Facebook wird mit Abstand am häufigsten verwendet</w:t>
      </w:r>
    </w:p>
    <w:p w14:paraId="7EFF093D" w14:textId="77777777" w:rsidR="00D56E61" w:rsidRDefault="000044CD">
      <w:pPr>
        <w:pStyle w:val="Vorspann"/>
      </w:pPr>
      <w:r>
        <w:t>Immer mehr ältere Menschen entdecken die Möglichkeiten sozialer Netzwerke für sich. Einer aktuellen Umfrage zufolge nutzen inzwischen 44 Prozent der Seniorinnen und Senioren ab 65 Jahren Facebook, Instagram und Co. Vor sechs Jahren waren es erst 15 Prozent.</w:t>
      </w:r>
    </w:p>
    <w:p w14:paraId="191270C8" w14:textId="77777777" w:rsidR="00D56E61" w:rsidRDefault="000044CD">
      <w:r>
        <w:t xml:space="preserve">Neues aus der Welt oder der Region erfahren, Kontakt zu alten Freunden halten oder neue finden, Anregungen zu Hobbys sammeln oder selbst etwas posten. Laut einer repräsentativen Befragung von 1004 Personen ab 65 Jahren in Deutschland im Auftrag des Digitalverbands Bitkom hat sich die Nutzung sozialer Medien durch ältere Menschen seit 2020 verdreifacht. </w:t>
      </w:r>
    </w:p>
    <w:p w14:paraId="737D79CD" w14:textId="77777777" w:rsidR="00D56E61" w:rsidRDefault="000044CD">
      <w:pPr>
        <w:pStyle w:val="Zwischentitel"/>
      </w:pPr>
      <w:r>
        <w:t>Verbunden bleiben</w:t>
      </w:r>
    </w:p>
    <w:p w14:paraId="2FB6A2D0" w14:textId="77777777" w:rsidR="00D56E61" w:rsidRDefault="000044CD">
      <w:r>
        <w:lastRenderedPageBreak/>
        <w:t xml:space="preserve">Ab 75 Jahren sinkt der Anteil allerdings deutlich. In der Altersgruppe zwischen 65 und 69 Jahren sind zwei Drittel (66 Prozent) in sozialen Netzwerken aktiv, zwischen 70 und 74 Jahren sind es 56 Prozent. Danach fallen die Werte klar ab: Bei den 75- bis 79-Jährigen sind nur noch 30 Prozent in sozialen Medien aktiv, in der Altersgruppe ab 80 Jahren lediglich 24 Prozent. </w:t>
      </w:r>
    </w:p>
    <w:p w14:paraId="0C90CA6D" w14:textId="77777777" w:rsidR="00D56E61" w:rsidRDefault="000044CD">
      <w:r>
        <w:t xml:space="preserve">„Soziale Netzwerke sind in allen Generationen angekommen. Sie bieten gerade auch älteren Menschen die Chance, informiert und gesellschaftlich verbunden zu bleiben“, sagt Bitkom-Präsident Dr. Ralf Wintergerst. Geht es um die beliebtesten sozialen Medien der Seniorinnen und Senioren, liegt Facebook mit Abstand vorne: Unter den Nutzerinnen und Nutzern von sozialen Netzwerken ab 65 Jahren sind 60 Prozent bei Facebook aktiv. Auf Platz zwei folgt StayFriends mit 31 Prozent. X (früher Twitter) nutzen nach eigenen Angaben 20 Prozent, Instagram 19 Prozent und Xing 15 Prozent. </w:t>
      </w:r>
    </w:p>
    <w:p w14:paraId="29B2684E" w14:textId="77777777" w:rsidR="00D56E61" w:rsidRDefault="000044CD">
      <w:r>
        <w:t xml:space="preserve">Jeweils weniger als ein Zehntel der Befragten nutzt Pinterest (8 Prozent), lokale Netzwerke der eigenen Stadt oder Region (7 Prozent) und Seniorentreff (6 Prozent). Nur jeder 20. Social-Media-Nutzende ab 65 findet sich auf </w:t>
      </w:r>
      <w:proofErr w:type="spellStart"/>
      <w:r>
        <w:t>TikTok</w:t>
      </w:r>
      <w:proofErr w:type="spellEnd"/>
      <w:r>
        <w:t xml:space="preserve"> (5 Prozent), vier Prozent sind bei LinkedIn. </w:t>
      </w:r>
    </w:p>
    <w:p w14:paraId="3C582E5C" w14:textId="77777777" w:rsidR="00D56E61" w:rsidRDefault="000044CD">
      <w:pPr>
        <w:pStyle w:val="Zwischentitel"/>
      </w:pPr>
      <w:r>
        <w:t>Halbe Stunde täglich</w:t>
      </w:r>
    </w:p>
    <w:p w14:paraId="1DF757D7" w14:textId="77777777" w:rsidR="00D56E61" w:rsidRDefault="000044CD">
      <w:r>
        <w:t xml:space="preserve">Für viele sind die genannten Plattformen allerdings kein tägliches Muss: Nur 53 Prozent der älteren Nutzerinnen und Nutzer von sozialen Medien besuchen diese jeden Tag. Diejenigen, die täglich aktiv sind, verbringen dort im Schnitt eine knappe halbe Stunde (26 Minuten). </w:t>
      </w:r>
    </w:p>
    <w:p w14:paraId="34F19378" w14:textId="77777777" w:rsidR="00D56E61" w:rsidRDefault="000044CD">
      <w:r>
        <w:t xml:space="preserve">Neben der Nutzung sozialer Medien hat Bitkom auch ganz allgemein gefragt, ob, wie oft und zu welchem Zweck Seniorinnen und Senioren ab 65 Jahren online gehen. Auch hier gab es klare Steigerungen: Während vor sechs Jahren erst knapp die Hälfte (48 Prozent) der Befragten das Internet nutzten, sind es inzwischen etwa drei Viertel (74 Prozent). </w:t>
      </w:r>
    </w:p>
    <w:p w14:paraId="32B33D8F" w14:textId="77777777" w:rsidR="00D56E61" w:rsidRDefault="000044CD">
      <w:r>
        <w:t>Wiederum 74 Prozent dieser Internetnutzerinnen und -nutzer können sich ein Leben ohne das weltweite Netzwerk nicht mehr vorstellen – schließlich finden 91 Prozent dort Freizeitaktivitäten, und 78 Prozent nutzen das Netz, um gedanklich fit zu bleiben. 72 Prozent haben mehr Kontakt zu Freunden und Familie. 92 Prozent schreiben Mails, 88 Prozent Textnachrichten, 60 Prozent nutzen soziale Netzwerke und die Hälfte (50 Prozent) telefoniert per Videoanruf.</w:t>
      </w:r>
    </w:p>
    <w:p w14:paraId="214D5E0F" w14:textId="77777777" w:rsidR="00D56E61" w:rsidRDefault="000044CD">
      <w:r>
        <w:t xml:space="preserve">Auch Hobbys und Nachrichten stehen bei den Älteren hoch im Kurs: 88 Prozent suchen online Infos zu persönlichen Interessen, 81 Prozent informieren sich im Internet über das aktuelle Zeitgeschehen. Darüber hinaus erledigen 80 Prozent der Internetnutzenden ihre Bankgeschäfte und 76 Prozent auch den einen oder anderen Einkauf online. </w:t>
      </w:r>
    </w:p>
    <w:p w14:paraId="301E2763" w14:textId="77777777" w:rsidR="00D56E61" w:rsidRDefault="000044CD">
      <w:pPr>
        <w:pStyle w:val="Zwischentitel"/>
      </w:pPr>
      <w:r>
        <w:t>Hilfetelefon gewünscht</w:t>
      </w:r>
    </w:p>
    <w:p w14:paraId="0FD9D4D0" w14:textId="77777777" w:rsidR="00D56E61" w:rsidRDefault="000044CD">
      <w:r>
        <w:t xml:space="preserve">Allerdings klappt nicht immer alles reibungslos. 55 Prozent der Befragten hat Schwierigkeiten, Menüs zu finden oder Einstellungen zu ändern. Generell finden 91 Prozent, der Staat sollte mehr dafür tun, dass niemand bei der Digitalisierung abgehängt wird. Fast alle (96 Prozent) wünschen sich ein Unterstützungsangebot, um digitale Fähigkeiten besser erlernen und anwenden zu können. Konkret wollen 78 Prozent ein Hilfetelefon für digitale Fragen. </w:t>
      </w:r>
      <w:r>
        <w:rPr>
          <w:b/>
        </w:rPr>
        <w:t>Mirko Besch</w:t>
      </w:r>
    </w:p>
    <w:p w14:paraId="32C5ECDB" w14:textId="77777777" w:rsidR="00D56E61" w:rsidRDefault="000044CD">
      <w:pPr>
        <w:pStyle w:val="berschrift1"/>
      </w:pPr>
      <w:bookmarkStart w:id="25" w:name="_Toc227740062"/>
      <w:r>
        <w:lastRenderedPageBreak/>
        <w:t>Deutsche sind wieder glücklicher</w:t>
      </w:r>
      <w:bookmarkEnd w:id="25"/>
    </w:p>
    <w:p w14:paraId="6E1C575C" w14:textId="77777777" w:rsidR="00D56E61" w:rsidRDefault="000044CD">
      <w:pPr>
        <w:pStyle w:val="Standard-Fett"/>
      </w:pPr>
      <w:r>
        <w:t xml:space="preserve">World </w:t>
      </w:r>
      <w:proofErr w:type="spellStart"/>
      <w:r>
        <w:t>Happiness</w:t>
      </w:r>
      <w:proofErr w:type="spellEnd"/>
      <w:r>
        <w:t xml:space="preserve"> Report 2026: Ein starkes soziales Netz ist entscheidend für das Wohlbefinden</w:t>
      </w:r>
    </w:p>
    <w:p w14:paraId="50506167" w14:textId="77777777" w:rsidR="00D56E61" w:rsidRDefault="000044CD">
      <w:pPr>
        <w:pStyle w:val="Vorspann"/>
      </w:pPr>
      <w:r>
        <w:t xml:space="preserve">Laut „World </w:t>
      </w:r>
      <w:proofErr w:type="spellStart"/>
      <w:r>
        <w:t>Happiness</w:t>
      </w:r>
      <w:proofErr w:type="spellEnd"/>
      <w:r>
        <w:t xml:space="preserve"> Report“ 2026 – auf Deutsch Weltglücksbericht – sind die Deutschen wieder glücklicher. Sie klettern vom 22. auf den 17. Platz. Das glücklichste Volk sind die Finnen, und zwar seit neun Jahren in Folge.</w:t>
      </w:r>
    </w:p>
    <w:p w14:paraId="36B5855C" w14:textId="77777777" w:rsidR="00D56E61" w:rsidRDefault="000044CD">
      <w:r>
        <w:t>Neben Finnland stehen drei weitere nordeuropäische Länder auf den ersten Plätzen: Island, Dänemark und Schweden. Nur Costa Rica schafft es als einziges außereuropäisches Land mit Platz vier an die Spitze des Rankings. Deutschland hat seit dem vergangenen Jahr fünf Plätze gut gemacht und belegt nun Rang 17.</w:t>
      </w:r>
    </w:p>
    <w:p w14:paraId="6CC9E533" w14:textId="77777777" w:rsidR="00D56E61" w:rsidRDefault="000044CD">
      <w:r>
        <w:t xml:space="preserve">Auf den letzten Plätzen stehen Botswana, Simbabwe, Malawi, Sierra Leone und Schlusslicht Afghanistan. Das Leben in diesen Ländern wird oft bestimmt von Instabilitäten, wirtschaftlichen Problemen und Konflikten. </w:t>
      </w:r>
    </w:p>
    <w:p w14:paraId="186ABA02" w14:textId="77777777" w:rsidR="00D56E61" w:rsidRDefault="000044CD">
      <w:pPr>
        <w:pStyle w:val="Zwischentitel"/>
      </w:pPr>
      <w:r>
        <w:t>Nicht nur subjektiv</w:t>
      </w:r>
    </w:p>
    <w:p w14:paraId="516EA888" w14:textId="77777777" w:rsidR="00D56E61" w:rsidRDefault="000044CD">
      <w:r>
        <w:t xml:space="preserve">„Die Finnen sind nicht besessen davon, unbedingt glücklich sein zu wollen. Sie sind offensichtlich sehr zufrieden und dankbar für alles, was sie haben, und sie nehmen sich selbst in dieser Hinsicht nicht allzu ernst, was ihnen wiederum hilft, die kleinen Dinge im Leben zu schätzen“, erklärt Jan-Emmanuel De </w:t>
      </w:r>
      <w:proofErr w:type="spellStart"/>
      <w:r>
        <w:t>Neve</w:t>
      </w:r>
      <w:proofErr w:type="spellEnd"/>
      <w:r>
        <w:t xml:space="preserve"> den Spitzenplatz Finnlands. Er ist einer der Autoren des Weltglücksberichts. </w:t>
      </w:r>
    </w:p>
    <w:p w14:paraId="1D444007" w14:textId="77777777" w:rsidR="00D56E61" w:rsidRDefault="000044CD">
      <w:r>
        <w:t>Die Fachleute berücksichtigen in ihrer Analyse neben subjektiven Einschätzungen auch andere Faktoren. Darunter sind Pro-Kopf-Einkommen, Lebenserwartung, Sozialhilfe, wahrgenommene Freiheit, Großzügigkeit sowie die Wahrnehmung von Korruption. Sie gehen davon aus, dass das Wohlbefinden eine Folge von materiellen Bedingungen und der Qualität sozialer Beziehungen ist.</w:t>
      </w:r>
    </w:p>
    <w:p w14:paraId="5E58FF1E" w14:textId="77777777" w:rsidR="00D56E61" w:rsidRDefault="000044CD">
      <w:r>
        <w:t xml:space="preserve">„Dass die Finnen oder Dänen noch zufriedener mit ihrem Leben sind als die Deutschen, liegt daran, dass sie über großen Wohlstand verfügen – wie Deutschland –, diesen aber sehr gerecht verteilen. Sie haben eine hohe Lebenserwartung und einen guten Zugang zur öffentlichen Gesundheitsversorgung“, erklärt De </w:t>
      </w:r>
      <w:proofErr w:type="spellStart"/>
      <w:r>
        <w:t>Neve</w:t>
      </w:r>
      <w:proofErr w:type="spellEnd"/>
      <w:r>
        <w:t>. Entscheidend sei das starke soziale Netz in den nordischen Ländern.</w:t>
      </w:r>
    </w:p>
    <w:p w14:paraId="1740130B" w14:textId="77777777" w:rsidR="00D56E61" w:rsidRDefault="000044CD">
      <w:r>
        <w:t xml:space="preserve">Das Einkommen spielt nach Ansicht der Fachleute zwar eine wichtige, aber nicht die entscheidende Rolle. Das zeigt etwa die gute Platzierung des relativ armen Landes Costa Rica. Hier sind Faktoren wie die Qualität sozialer Beziehungen, das Vertrauen in Institutionen und ein Gefühl kollektiver Sicherheit wichtig. </w:t>
      </w:r>
    </w:p>
    <w:p w14:paraId="10274B1D" w14:textId="77777777" w:rsidR="00D56E61" w:rsidRDefault="000044CD">
      <w:pPr>
        <w:pStyle w:val="Zwischentitel"/>
      </w:pPr>
      <w:r>
        <w:t>Einmal im Jahr</w:t>
      </w:r>
    </w:p>
    <w:p w14:paraId="4E796144" w14:textId="77777777" w:rsidR="00D56E61" w:rsidRDefault="000044CD">
      <w:r>
        <w:lastRenderedPageBreak/>
        <w:t xml:space="preserve">Der Weltglücksbericht wird vom </w:t>
      </w:r>
      <w:proofErr w:type="spellStart"/>
      <w:r>
        <w:t>Wellbeing</w:t>
      </w:r>
      <w:proofErr w:type="spellEnd"/>
      <w:r>
        <w:t xml:space="preserve"> Research </w:t>
      </w:r>
      <w:proofErr w:type="spellStart"/>
      <w:r>
        <w:t>Centre</w:t>
      </w:r>
      <w:proofErr w:type="spellEnd"/>
      <w:r>
        <w:t xml:space="preserve"> der Universität Oxford herausgegeben. Dafür werden einmal im Jahr Menschen in 147 Ländern weltweit gebeten, Zufriedenheit und Lebensqualität auf einer Skala von null bis zehn zu bewerten. Der Bericht wird dann rund um den Weltglückstag am 20. März veröffentlicht. </w:t>
      </w:r>
      <w:r>
        <w:rPr>
          <w:b/>
        </w:rPr>
        <w:t>Kristin Enge</w:t>
      </w:r>
    </w:p>
    <w:p w14:paraId="21953D5B" w14:textId="77777777" w:rsidR="00D56E61" w:rsidRDefault="000044CD">
      <w:pPr>
        <w:pStyle w:val="berschrift1"/>
      </w:pPr>
      <w:bookmarkStart w:id="26" w:name="_Toc227740063"/>
      <w:r>
        <w:t>Mit neuen Ideen zu mehr Inklusion</w:t>
      </w:r>
      <w:bookmarkEnd w:id="26"/>
    </w:p>
    <w:p w14:paraId="755F82C1" w14:textId="77777777" w:rsidR="00D56E61" w:rsidRDefault="000044CD">
      <w:pPr>
        <w:pStyle w:val="Standard-Fett"/>
      </w:pPr>
      <w:r>
        <w:t>Von Audiodeskription bis Vibrationswesten – Veranstalter des Eurovision Song Contests setzen Maßstäbe für Teilhabe</w:t>
      </w:r>
    </w:p>
    <w:p w14:paraId="6C2816E1" w14:textId="77777777" w:rsidR="00D56E61" w:rsidRDefault="000044CD">
      <w:pPr>
        <w:pStyle w:val="Vorspann"/>
      </w:pPr>
      <w:r>
        <w:t xml:space="preserve">Beim Eurovision Song </w:t>
      </w:r>
      <w:proofErr w:type="gramStart"/>
      <w:r>
        <w:t>Contest  (</w:t>
      </w:r>
      <w:proofErr w:type="gramEnd"/>
      <w:r>
        <w:t>ESC) vom 11. bis 16. Mai in Wien stehen nicht nur Vielfalt und Diversität im Vordergrund. Die Veranstalter haben sich auch zu den Themen Inklusion und Barrierefreiheit einiges überlegt.</w:t>
      </w:r>
    </w:p>
    <w:p w14:paraId="59029DD0" w14:textId="77777777" w:rsidR="00D56E61" w:rsidRDefault="000044CD">
      <w:r>
        <w:t>Ein „Event für alle“ wird der ESC in Wien sein, hat der Österreichische Rundfunk (ORF) angekündigt. Mit einer Reihe von Maßnahmen und Angeboten für Menschen mit Behinderung will der Veranstalter dies erreichen, sowohl bei den Übertragungen der beiden Halbfinals (12. und 14. Mai) und des Finals (16. Mai), die jeweils um 21 Uhr beginnen, als auch in der Wiener Stadthalle und beim Public Viewing auf dem Wiener Rathausplatz.</w:t>
      </w:r>
    </w:p>
    <w:p w14:paraId="546D19F1" w14:textId="77777777" w:rsidR="00D56E61" w:rsidRDefault="000044CD">
      <w:pPr>
        <w:pStyle w:val="Zwischentitel"/>
      </w:pPr>
      <w:r>
        <w:t xml:space="preserve">International </w:t>
      </w:r>
      <w:proofErr w:type="spellStart"/>
      <w:r>
        <w:t>Sign</w:t>
      </w:r>
      <w:proofErr w:type="spellEnd"/>
    </w:p>
    <w:p w14:paraId="7889032C" w14:textId="77777777" w:rsidR="00D56E61" w:rsidRDefault="000044CD">
      <w:r>
        <w:t xml:space="preserve">Die Organisatoren des europäischen Musikwettbewerbs legen schon seit Längerem großen Wert auf Inklusion. So werden seit 2015 die Auftritte der Sängerinnen, Sänger und Bands in der Gebärdensprache „International </w:t>
      </w:r>
      <w:proofErr w:type="spellStart"/>
      <w:r>
        <w:t>Sign</w:t>
      </w:r>
      <w:proofErr w:type="spellEnd"/>
      <w:r>
        <w:t xml:space="preserve">“ für Gehörlose und Menschen mit Hörbehinderung dargestellt. Der ORF hat im Januar ein Casting veranstaltet für Personen, die diese beherrschen. Zehn davon wurden ausgewählt, darunter auch vier Frauen und ein Mann aus Deutschland. Diese absolvieren monatlich Trainings und Workshops, und Ende April werden alle </w:t>
      </w:r>
      <w:proofErr w:type="spellStart"/>
      <w:r>
        <w:t>Sign</w:t>
      </w:r>
      <w:proofErr w:type="spellEnd"/>
      <w:r>
        <w:t>-Performances zu allen Songs der Künstlerinnen und Künstler aus 35 Ländern aufgezeichnet. Sie sind bei den Halbfinal-Shows und beim Finale auf ORF 2 Europe sowie auf ORF ON zu sehen und werden allen Sendern der Teilnehmerländer zur Ausstrahlung auf ihren barrierefreien Plattformen zur Verfügung gestellt.</w:t>
      </w:r>
    </w:p>
    <w:p w14:paraId="3B4B99E8" w14:textId="77777777" w:rsidR="00D56E61" w:rsidRDefault="000044CD">
      <w:r>
        <w:t>Um hörbehinderten Menschen in der Stadthalle die Musik zugänglich zu machen, können sich diese während der Shows Vibrationswesten ausleihen. Die vibrierenden Elemente dieser Westen machen Töne auf der Haut direkt erlebbar, wie der ORF berichtet.</w:t>
      </w:r>
    </w:p>
    <w:p w14:paraId="5E5C3AE9" w14:textId="77777777" w:rsidR="00D56E61" w:rsidRDefault="000044CD">
      <w:r>
        <w:t xml:space="preserve">Für gehörlose und blinde Menschen gibt es eine Smartphone-App. Über die KI-basierte </w:t>
      </w:r>
      <w:proofErr w:type="spellStart"/>
      <w:r>
        <w:t>Plug&amp;Play-Plattform</w:t>
      </w:r>
      <w:proofErr w:type="spellEnd"/>
      <w:r>
        <w:t xml:space="preserve"> „</w:t>
      </w:r>
      <w:proofErr w:type="spellStart"/>
      <w:r>
        <w:t>Accessify</w:t>
      </w:r>
      <w:proofErr w:type="spellEnd"/>
      <w:r>
        <w:t xml:space="preserve">“ stehen ihnen Audiodeskription und </w:t>
      </w:r>
      <w:proofErr w:type="spellStart"/>
      <w:r>
        <w:t>Sign</w:t>
      </w:r>
      <w:proofErr w:type="spellEnd"/>
      <w:r>
        <w:t>-Language sowie eine automatische Übersetzung des Gesprochenen in Text (Speech-</w:t>
      </w:r>
      <w:proofErr w:type="spellStart"/>
      <w:r>
        <w:t>to</w:t>
      </w:r>
      <w:proofErr w:type="spellEnd"/>
      <w:r>
        <w:t>-Text) und Tonverstärkung über Hörgeräte mit Bluetooth zur Verfügung.</w:t>
      </w:r>
    </w:p>
    <w:p w14:paraId="134CF07D" w14:textId="77777777" w:rsidR="00D56E61" w:rsidRDefault="000044CD">
      <w:r>
        <w:lastRenderedPageBreak/>
        <w:t>Vor Ort gibt es Service-Points mit Infos zu allen barrierefreien Angeboten. Außerdem waren Menschen mit Behinderung aufgerufen, sich für das Volunteer-Programm zu bewerben.</w:t>
      </w:r>
    </w:p>
    <w:p w14:paraId="09B297D9" w14:textId="77777777" w:rsidR="00D56E61" w:rsidRDefault="000044CD">
      <w:r>
        <w:t>Für das deutsche Fernsehpublikum bietet die ARD, die den ESC traditionell überträgt, einen umfassenden Service für Menschen mit Behinderung an. Das barrierefreie Angebot umfasst schon seit Langem Untertitel. So können Zuschauerinnen und Zuschauer sich die Liedtexte einblenden lassen. Seit dem ESC 2018 in Lissabon gibt es außerdem eine Simultan-Übersetzung in deutscher Gebärdensprache.</w:t>
      </w:r>
    </w:p>
    <w:p w14:paraId="761A76C2" w14:textId="74B0A721" w:rsidR="00E4777B" w:rsidRDefault="000044CD">
      <w:pPr>
        <w:rPr>
          <w:b/>
        </w:rPr>
      </w:pPr>
      <w:r>
        <w:t xml:space="preserve">Für blinde und sehbehinderte Menschen kann eine Audiodeskription hinzugeschaltet werden. Dafür bereiten sich Expertinnen und Experten ausführlich vor. Sie schauen sich möglichst alle Proben der Shows an, um sich zum Beispiel das Outfit einer Sängerin, die Choreografie der Tänzer oder die Optik des Bühnenbilds einzuprägen. </w:t>
      </w:r>
      <w:r>
        <w:rPr>
          <w:b/>
        </w:rPr>
        <w:t>Sebastian Heis</w:t>
      </w:r>
      <w:r w:rsidR="00E4777B">
        <w:rPr>
          <w:b/>
        </w:rPr>
        <w:t>e</w:t>
      </w:r>
    </w:p>
    <w:p w14:paraId="4EE30262" w14:textId="0EDAAC8E" w:rsidR="00D56E61" w:rsidRDefault="00E4777B" w:rsidP="00E4777B">
      <w:pPr>
        <w:tabs>
          <w:tab w:val="left" w:pos="6804"/>
        </w:tabs>
      </w:pPr>
      <w:hyperlink r:id="rId10" w:history="1">
        <w:r w:rsidRPr="0098547B">
          <w:rPr>
            <w:rStyle w:val="Hyperlink"/>
          </w:rPr>
          <w:t>www.eurovision.de</w:t>
        </w:r>
      </w:hyperlink>
    </w:p>
    <w:p w14:paraId="75DF3AF9" w14:textId="38088B35" w:rsidR="00D56E61" w:rsidRDefault="00E3794A">
      <w:hyperlink r:id="rId11">
        <w:r w:rsidR="000044CD">
          <w:rPr>
            <w:color w:val="0015B7"/>
          </w:rPr>
          <w:t>https://songcontest.orf.at</w:t>
        </w:r>
      </w:hyperlink>
    </w:p>
    <w:p w14:paraId="0FE64657" w14:textId="77777777" w:rsidR="00D56E61" w:rsidRDefault="000044CD">
      <w:pPr>
        <w:pStyle w:val="berschrift1"/>
      </w:pPr>
      <w:bookmarkStart w:id="27" w:name="_Toc227740064"/>
      <w:r>
        <w:t>Der Weg zum Schwerbehindertenausweis</w:t>
      </w:r>
      <w:bookmarkEnd w:id="27"/>
    </w:p>
    <w:p w14:paraId="10253008" w14:textId="77777777" w:rsidR="00D56E61" w:rsidRDefault="000044CD">
      <w:pPr>
        <w:pStyle w:val="Standard-Fett"/>
      </w:pPr>
      <w:r>
        <w:t>Dokument ermöglicht Leistungen und Nachteilsausgleiche</w:t>
      </w:r>
    </w:p>
    <w:p w14:paraId="7DB04DC3" w14:textId="77777777" w:rsidR="00D56E61" w:rsidRDefault="000044CD">
      <w:pPr>
        <w:pStyle w:val="Vorspann"/>
      </w:pPr>
      <w:r>
        <w:t>Menschen mit einem Grad der Behinderung (</w:t>
      </w:r>
      <w:proofErr w:type="spellStart"/>
      <w:r>
        <w:t>GdB</w:t>
      </w:r>
      <w:proofErr w:type="spellEnd"/>
      <w:r>
        <w:t xml:space="preserve">) von 50 oder mehr haben Anspruch auf einen Schwerbehindertenausweis. Dieser ermöglicht zahlreiche Nachteilsausgleiche, beispielsweise im Berufsleben, im Steuerrecht oder im öffentlichen Nahverkehr. </w:t>
      </w:r>
    </w:p>
    <w:p w14:paraId="6FA42E25" w14:textId="77777777" w:rsidR="00D56E61" w:rsidRDefault="000044CD">
      <w:r>
        <w:t xml:space="preserve">Menschen mit einer Schwerbehinderung genießen besonderen Schutz und haben Anspruch auf bestimmte Leistungen, etwa Kündigungsschutz und Zusatzurlaub. Damit sollen Nachteile ausgeglichen werden, die durch die Behinderung entstanden sind. Mit dem Schwerbehindertenausweis können sich Betroffene gegenüber Arbeitgebern, Behörden und anderen Institutionen ausweisen. Auch freiwillige Ermäßigungen, beispielsweise in Museen oder Kinos, sind möglich. </w:t>
      </w:r>
    </w:p>
    <w:p w14:paraId="088B2879" w14:textId="77777777" w:rsidR="00D56E61" w:rsidRDefault="000044CD">
      <w:r>
        <w:t xml:space="preserve">Als schwerbehindert gelten Menschen ab einem </w:t>
      </w:r>
      <w:proofErr w:type="spellStart"/>
      <w:r>
        <w:t>GdB</w:t>
      </w:r>
      <w:proofErr w:type="spellEnd"/>
      <w:r>
        <w:t xml:space="preserve"> von 50. Jede einzelne Einschränkung wird anhand eines bundesweit verbindlichen Bewertungssystems eingestuft. Liegen mehrere Erkrankungen vor, werden diese nicht zusammengezählt, sondern in ihrer Gesamtauswirkung auf das tägliche Leben eingeschätzt.</w:t>
      </w:r>
    </w:p>
    <w:p w14:paraId="5D9C5424" w14:textId="77777777" w:rsidR="00D56E61" w:rsidRDefault="000044CD">
      <w:r>
        <w:t xml:space="preserve">Der Schwerbehindertenausweis wird in der Regel beim Versorgungsamt beziehungsweise bei der nach Landesrecht zuständigen Behörde beantragt. Die Antragsformulare der Bundesländer sind unterschiedlich. Vordrucke gibt es in den Versorgungsämtern, Stadt- und </w:t>
      </w:r>
      <w:r>
        <w:lastRenderedPageBreak/>
        <w:t>Gemeindeverwaltungen sowie im Internet. Mittlerweile bieten die meisten Behörden an, den Antrag auch online zu stellen.</w:t>
      </w:r>
    </w:p>
    <w:p w14:paraId="5154CD08" w14:textId="77777777" w:rsidR="00D56E61" w:rsidRDefault="000044CD">
      <w:pPr>
        <w:pStyle w:val="Zwischentitel"/>
      </w:pPr>
      <w:r>
        <w:t>Keine Untersuchung nötig</w:t>
      </w:r>
    </w:p>
    <w:p w14:paraId="3D4A9196" w14:textId="77777777" w:rsidR="00D56E61" w:rsidRDefault="000044CD">
      <w:r>
        <w:t xml:space="preserve">Für die Bewilligung des Ausweises ist meist keine ärztliche Untersuchung notwendig. Die Ärztlichen Dienste der zuständigen Behörde werten die vorliegenden Krankenunterlagen und Berichte nach Aktenlage aus. Es empfiehlt sich, im Antrag alle Informationen zu Beeinträchtigungen und den behandelnden Ärzten anzugeben. Befundberichte und Gutachten von Hausärzten, Fachärzten sowie Krankenhäusern werden beigefügt. </w:t>
      </w:r>
    </w:p>
    <w:p w14:paraId="70BFED9F" w14:textId="77777777" w:rsidR="00D56E61" w:rsidRDefault="000044CD">
      <w:r>
        <w:t xml:space="preserve">Im Antragsformular können die gewünschten Merkzeichen angegeben werden. G steht für Gehbehinderung, aG für außergewöhnliche Gehbehinderung, H für hilflos, B für Begleitperson, </w:t>
      </w:r>
      <w:proofErr w:type="spellStart"/>
      <w:r>
        <w:t>Bl</w:t>
      </w:r>
      <w:proofErr w:type="spellEnd"/>
      <w:r>
        <w:t xml:space="preserve"> für blind, Gl für gehörlos, </w:t>
      </w:r>
      <w:proofErr w:type="spellStart"/>
      <w:r>
        <w:t>TBl</w:t>
      </w:r>
      <w:proofErr w:type="spellEnd"/>
      <w:r>
        <w:t xml:space="preserve"> für taubblind und RF für eine Ermäßigung des Rundfunkbeitrags. Die Voraussetzungen für eine Befreiung von dieser Gebühr sind sehr hoch.</w:t>
      </w:r>
    </w:p>
    <w:p w14:paraId="0E0BED91" w14:textId="77777777" w:rsidR="00D56E61" w:rsidRDefault="000044CD">
      <w:r>
        <w:t xml:space="preserve">In der Regel wird ein Schwerbehindertenausweis für maximal fünf Jahre ausgestellt und kann danach verlängert werden. Eine Verschlechterung des Gesundheitszustands sollte zeitnah mitgeteilt werden. Wer mindestens 50 </w:t>
      </w:r>
      <w:proofErr w:type="spellStart"/>
      <w:r>
        <w:t>GdB</w:t>
      </w:r>
      <w:proofErr w:type="spellEnd"/>
      <w:r>
        <w:t xml:space="preserve"> und die Merkzeichen G, aG, H, </w:t>
      </w:r>
      <w:proofErr w:type="spellStart"/>
      <w:r>
        <w:t>Bl</w:t>
      </w:r>
      <w:proofErr w:type="spellEnd"/>
      <w:r>
        <w:t xml:space="preserve"> oder Gl hat, erhält statt eines einfachen grünen einen grün-orangenen Ausweis. Dieser ermöglicht die „unentgeltliche Nutzung“ des öffentlichen Nahverkehrs. Dafür muss jährlich eine Wertmarke erworben werden. </w:t>
      </w:r>
    </w:p>
    <w:p w14:paraId="7AA59070" w14:textId="77777777" w:rsidR="00D56E61" w:rsidRDefault="000044CD">
      <w:r>
        <w:t xml:space="preserve">Der Schwerbehindertenausweis berechtigt nicht automatisch zum Parken auf einem Behindertenparkplatz. Dafür benötigt man zusätzlich den blauen EU-Parkausweis für Personen mit Behinderungen, der bei den Merkzeichen aG, </w:t>
      </w:r>
      <w:proofErr w:type="spellStart"/>
      <w:r>
        <w:t>Bl</w:t>
      </w:r>
      <w:proofErr w:type="spellEnd"/>
      <w:r>
        <w:t xml:space="preserve"> oder vergleichbaren schweren Beeinträchtigungen vergeben wird.</w:t>
      </w:r>
    </w:p>
    <w:p w14:paraId="3CA324CE" w14:textId="77777777" w:rsidR="00D56E61" w:rsidRDefault="000044CD">
      <w:r>
        <w:t xml:space="preserve">Der VdK hilft seinen Mitgliedern gerne bei der Antragstellung und – falls nötig – auch bei einem Widerspruch im Fall einer Ablehnung. Fragen Sie in Ihrer Geschäftsstelle nach! </w:t>
      </w:r>
      <w:r>
        <w:rPr>
          <w:b/>
        </w:rPr>
        <w:t>Annette Liebmann</w:t>
      </w:r>
    </w:p>
    <w:p w14:paraId="59C7C016" w14:textId="77777777" w:rsidR="00D56E61" w:rsidRDefault="000044CD">
      <w:pPr>
        <w:pStyle w:val="berschrift1"/>
      </w:pPr>
      <w:bookmarkStart w:id="28" w:name="_Toc227740065"/>
      <w:r>
        <w:t>Aktuelle Filme auf VdK-TV</w:t>
      </w:r>
      <w:bookmarkEnd w:id="28"/>
    </w:p>
    <w:p w14:paraId="5F20F03F" w14:textId="77777777" w:rsidR="00D56E61" w:rsidRDefault="000044CD">
      <w:r>
        <w:t xml:space="preserve"> </w:t>
      </w:r>
      <w:r>
        <w:rPr>
          <w:b/>
        </w:rPr>
        <w:t>„Rat &amp; Tat“</w:t>
      </w:r>
    </w:p>
    <w:p w14:paraId="0DAD7C14" w14:textId="77777777" w:rsidR="00D56E61" w:rsidRDefault="000044CD">
      <w:r>
        <w:t>Wenn Arbeit krank macht, dann ist Handeln geboten. Nicht nur für die Betroffenen selbst, sondern auch für behandelnde Ärztinnen und Ärzte. Diese haben nämlich eine Anzeigepflicht, sobald der Verdacht aufkommt, dass eine Berufskrankheit vorliegt. Dann gilt umgehend zu ermitteln, ob für andere, die dieselbe Tätigkeit ausüben, auch das Risiko einer Erkrankung besteht. Allerdings werden nur etwa bis zu 30 Prozent aller Anträge auf Anerkennung einer Berufskrankheit positiv beschieden, da die Kriterien streng sind. So muss das festgestellte Krankheitsbild im Katalog der Berufskrankheiten gelistet sein. Zudem ist lückenlos nachzuweisen, dass die Symptomatik ursächlich allein auf die Berufsausübung zurückgeführt werden kann. VdK-Rechtsexpertin Katharina Söhne erklärt, warum die Hürden so hoch sind und welche Leistungen im Fall einer anerkannten Berufskrankheit von der Unfallversicherung oder Berufsgenossenschaft übernommen werden.</w:t>
      </w:r>
    </w:p>
    <w:p w14:paraId="537DC0EA" w14:textId="77777777" w:rsidR="00D56E61" w:rsidRDefault="000044CD">
      <w:r>
        <w:lastRenderedPageBreak/>
        <w:t xml:space="preserve"> </w:t>
      </w:r>
      <w:r>
        <w:rPr>
          <w:b/>
        </w:rPr>
        <w:t>„Klipp &amp; Klar“</w:t>
      </w:r>
    </w:p>
    <w:p w14:paraId="1A5EACF3" w14:textId="77777777" w:rsidR="00D56E61" w:rsidRDefault="000044CD">
      <w:r>
        <w:t>Mit seinen 2,3 Millionen Mitgliedern ist der VdK der größte Sozialverband in Deutschland. Umfragen aus den vergangenen zehn Jahren belegen darüber hinaus, dass auch eine Mehrheit der Gesamtbevölkerung hinter den zentralen Forderungen des VdK steht. So sprechen sich zwischen 60 und 80 Prozent der Befragten für eine einzige Erwerbstätigenversicherung zur Alterssicherung und für eine Zusammenlegung der gesetzlichen und privaten Kranken- und Pflegeversicherung aus – für beides setzt sich der VdK schon seit Jahren ein. „Die Regierung muss die Mehrheit ernst nehmen“, fordert VdK-Präsidentin Verena Bentele. Doch diese tragfähigen Vorschläge tauchen in der aktuellen Debatte zur Sozialstaatsreform nicht auf. Stattdessen wird oft über Kürzungen und Einschnitte gesprochen, die nicht notwendig wären, würde man die sozialen Sicherungssysteme auf eine breitere Basis stellen.</w:t>
      </w:r>
    </w:p>
    <w:p w14:paraId="3D1D94E2" w14:textId="77777777" w:rsidR="00D56E61" w:rsidRDefault="000044CD">
      <w:r>
        <w:t xml:space="preserve"> </w:t>
      </w:r>
      <w:r>
        <w:rPr>
          <w:b/>
        </w:rPr>
        <w:t>„SBV – Inklusives Wissen“</w:t>
      </w:r>
    </w:p>
    <w:p w14:paraId="32E57B31" w14:textId="77777777" w:rsidR="00D56E61" w:rsidRDefault="000044CD">
      <w:r>
        <w:t>Eine flexiblere Handhabung der Dienst- und Pausenzeiten, die Möglichkeit, häufiger im Homeoffice zu arbeiten sowie mehr Rücksichtnahme bei der Zuweisung von Nacht- und Wechselschichten – all dies kann entscheidend dazu beitragen, dass Menschen mit Schwerbehinderung den Anforderungen ihres Jobs auch längerfristig gewachsen sind. Den rechtlichen Hintergrund zum wichtigen Thema „Arbeitszeit und Schwerbehinderung“ vermittelt VdK-Rechtsexpertin Kim Blum.</w:t>
      </w:r>
    </w:p>
    <w:p w14:paraId="1792A731" w14:textId="1B51FF5A" w:rsidR="00D56E61" w:rsidRDefault="00E4777B">
      <w:pPr>
        <w:pStyle w:val="berschrift1"/>
      </w:pPr>
      <w:bookmarkStart w:id="29" w:name="_Toc227740066"/>
      <w:r w:rsidRPr="00E4777B">
        <w:t>VdK-TV-Magazin in Sport</w:t>
      </w:r>
      <w:proofErr w:type="gramStart"/>
      <w:r w:rsidRPr="00E4777B">
        <w:t>1</w:t>
      </w:r>
      <w:r w:rsidRPr="00E4777B">
        <w:t xml:space="preserve"> </w:t>
      </w:r>
      <w:r>
        <w:t>:</w:t>
      </w:r>
      <w:proofErr w:type="gramEnd"/>
      <w:r>
        <w:t xml:space="preserve"> </w:t>
      </w:r>
      <w:r w:rsidR="000044CD">
        <w:t>„miteinander“ im Mai</w:t>
      </w:r>
      <w:bookmarkEnd w:id="29"/>
    </w:p>
    <w:p w14:paraId="7024CD47" w14:textId="77777777" w:rsidR="00D56E61" w:rsidRDefault="000044CD">
      <w:r>
        <w:t xml:space="preserve">Verena Bentele ist im Mai zu Gast bei „miteinander“, unserem beliebten VdK-TV-Magazin. Im ausführlichen Interview erklärt die VdK-Präsidentin, warum der Sozialstaat so wichtig für den gesellschaftlichen Zusammenhalt ist. Sie warnt davor, dessen Errungenschaften durch Kürzungen leichtfertig aufs Spiel zu setzen. </w:t>
      </w:r>
    </w:p>
    <w:p w14:paraId="4EE40BC3" w14:textId="77777777" w:rsidR="00D56E61" w:rsidRDefault="000044CD">
      <w:r>
        <w:t xml:space="preserve">Pflegebedürftigkeit, die Vereinbarkeit von Beruf und Familie, die Absicherung gegen Altersarmut – diese mitunter lebensbestimmenden Faktoren werden immer mehr zur Privatsache erklärt. Oftmals bleibt es den Menschen weitgehend selbst überlassen, wie sie solche Herausforderungen bewältigen. </w:t>
      </w:r>
    </w:p>
    <w:p w14:paraId="1DA41221" w14:textId="77777777" w:rsidR="00D56E61" w:rsidRDefault="000044CD">
      <w:r>
        <w:t>Dass es auch anders geht, davon ist Verena Bentele überzeugt. Im Interview zeigt sie konkrete Lösungswege auf, wie sich mit einigen wenigen, aber tiefgreifenden sozialpolitischen Reformen mehr Gerechtigkeit und soziale Sicherheit für eine große Mehrheit der Bevölkerung verwirklichen lassen.</w:t>
      </w:r>
    </w:p>
    <w:p w14:paraId="3A58511C" w14:textId="77777777" w:rsidR="00D56E61" w:rsidRDefault="000044CD">
      <w:r>
        <w:t>Der Beitrag ist ein mutmachendes, positives Statement der VdK-Präsidentin in einer Zeit, die vorrangig von Ängsten, Krisenstimmung und Pessimismus beherrscht wird.</w:t>
      </w:r>
    </w:p>
    <w:p w14:paraId="692C5FD5" w14:textId="77777777" w:rsidR="00D56E61" w:rsidRDefault="000044CD">
      <w:r>
        <w:rPr>
          <w:b/>
        </w:rPr>
        <w:t xml:space="preserve">„miteinander“ </w:t>
      </w:r>
      <w:r>
        <w:t xml:space="preserve">ist eine der beständigsten Sendereihen im deutschen Fernsehen. Seit 28 Jahren informiert das VdK-TV-Magazin Monat für Monat über sozialpolitische Themen, rechtliche </w:t>
      </w:r>
      <w:r>
        <w:lastRenderedPageBreak/>
        <w:t>Fragen, zeigt Neues aus den Bereichen Gesundheit und Rente, ist generationsübergreifend und wendet sich an Menschen mit und ohne Behinderung.</w:t>
      </w:r>
    </w:p>
    <w:p w14:paraId="66656537" w14:textId="77777777" w:rsidR="00D56E61" w:rsidRDefault="000044CD">
      <w:r>
        <w:rPr>
          <w:b/>
        </w:rPr>
        <w:t>Freuen Sie sich auf interessante Beiträge!</w:t>
      </w:r>
      <w:r>
        <w:t xml:space="preserve"> </w:t>
      </w:r>
    </w:p>
    <w:p w14:paraId="5AE8CBF7" w14:textId="77777777" w:rsidR="00D56E61" w:rsidRDefault="000044CD">
      <w:r>
        <w:rPr>
          <w:b/>
        </w:rPr>
        <w:t>Mai-Ausgabe auf Sport1</w:t>
      </w:r>
    </w:p>
    <w:p w14:paraId="2FE5AC88" w14:textId="77777777" w:rsidR="00D56E61" w:rsidRDefault="000044CD">
      <w:r>
        <w:rPr>
          <w:b/>
        </w:rPr>
        <w:t>am 16.  Mai</w:t>
      </w:r>
      <w:r>
        <w:t xml:space="preserve"> um </w:t>
      </w:r>
      <w:proofErr w:type="gramStart"/>
      <w:r>
        <w:t>12  Uhr</w:t>
      </w:r>
      <w:proofErr w:type="gramEnd"/>
      <w:r>
        <w:t>.</w:t>
      </w:r>
    </w:p>
    <w:p w14:paraId="1918A32B" w14:textId="77777777" w:rsidR="00D56E61" w:rsidRDefault="000044CD">
      <w:r>
        <w:t xml:space="preserve">Wiederholungen am 19.  Mai um </w:t>
      </w:r>
      <w:proofErr w:type="gramStart"/>
      <w:r>
        <w:t>7  Uhr</w:t>
      </w:r>
      <w:proofErr w:type="gramEnd"/>
      <w:r>
        <w:t xml:space="preserve"> sowie am 21.  Mai um 1  Uhr.</w:t>
      </w:r>
    </w:p>
    <w:p w14:paraId="61386037" w14:textId="77777777" w:rsidR="00D56E61" w:rsidRDefault="000044CD">
      <w:r>
        <w:t>Nach TV-Ausstrahlung jederzeit abrufbar auf vdk.de</w:t>
      </w:r>
    </w:p>
    <w:p w14:paraId="4AD015A4" w14:textId="77777777" w:rsidR="00D56E61" w:rsidRDefault="000044CD">
      <w:pPr>
        <w:pStyle w:val="berschrift1"/>
      </w:pPr>
      <w:bookmarkStart w:id="30" w:name="_Toc227740067"/>
      <w:r>
        <w:t>Es lebe die Poesie</w:t>
      </w:r>
      <w:bookmarkEnd w:id="30"/>
    </w:p>
    <w:p w14:paraId="2BDB117E" w14:textId="77777777" w:rsidR="00D56E61" w:rsidRDefault="000044CD">
      <w:pPr>
        <w:pStyle w:val="Standard-Fett"/>
      </w:pPr>
      <w:r>
        <w:t>Der Circus Roncalli feiert sein 50-jähriges Bestehen mit einer Jubiläumstournee</w:t>
      </w:r>
    </w:p>
    <w:p w14:paraId="0E3ACB3E" w14:textId="77777777" w:rsidR="00D56E61" w:rsidRDefault="000044CD">
      <w:pPr>
        <w:pStyle w:val="Vorspann"/>
      </w:pPr>
      <w:r>
        <w:t>Die Geburtsstunde des Circus Roncalli war in Wien im Jahr 1976. Gründer Bernhard Paul hat vor 50 Jahren Geschichte geschrieben, denn er setzte im Gegensatz zu den großen Konkurrenten auf märchenhafte Erzählungen und Poesie. Trotz vieler Probleme damals hatte der besondere Roncalli-Zauber von Anfang an seine Fans.</w:t>
      </w:r>
    </w:p>
    <w:p w14:paraId="0093D368" w14:textId="77777777" w:rsidR="00D56E61" w:rsidRDefault="000044CD">
      <w:r>
        <w:t xml:space="preserve">Der Österreicher Bernhard Paul entschied sich als 27-Jähriger, seinen Job als Grafiker beim Nachrichtenmagazin „Profil“ in Wien an den Nagel zu hängen, um seinen Kindheitstraum zu verwirklichen: einen Zirkus zu gründen. Im Vergleich zu anderen, die das Publikum etwa mit spektakulären Raubtiernummern lockten, ging es ihm darum, die Magie der Poesie in die Manege zu bringen. Doch wie konnte er sein Herzensprojekt ohne Geld, Kostüme und Wagen umsetzen? </w:t>
      </w:r>
    </w:p>
    <w:p w14:paraId="4221F401" w14:textId="77777777" w:rsidR="00D56E61" w:rsidRDefault="000044CD">
      <w:r>
        <w:t>Als er André Heller kennenlernte, bekannter Wiener Entertainer und Sohn eines Schokoladenfabrikanten, fand er einen Mitstreiter für seine Vision. Gemeinsam entwickelten sie ein Programm, und dann hieß es: Vorhang auf für die erste Show „Die größte Poesie des Universums“! Sie wurde ein riesiger Erfolg.</w:t>
      </w:r>
    </w:p>
    <w:p w14:paraId="2B9A9F2F" w14:textId="77777777" w:rsidR="00D56E61" w:rsidRDefault="000044CD">
      <w:pPr>
        <w:pStyle w:val="Zwischentitel"/>
      </w:pPr>
      <w:r>
        <w:t>Sinkender Stern</w:t>
      </w:r>
    </w:p>
    <w:p w14:paraId="65D9A4B0" w14:textId="77777777" w:rsidR="00D56E61" w:rsidRDefault="000044CD">
      <w:r>
        <w:t xml:space="preserve">Doch der eben aufsteigende Stern am Zirkus-Himmel sank ebenso rasch wieder: Schuldenberge und Bernhard Pauls Zerwürfnis mit André Heller machten Roncalli schwer zu schaffen. Erst 1980 konnte der Zirkus wieder groß eröffnen: Dieses Mal gastierte er in Köln – mit neuem Programm. Eine dieser Vorstellungen besuchte damals Joyce B. aus München. Der Roncalli-Flair fing die junge Frau sofort ein. „Mit einfachen Mitteln so eine Show zu zaubern, war schon toll. Mit Seifenblasen, artistischen Einlagen und Band zog Roncalli mich in seinen Bann.“ </w:t>
      </w:r>
    </w:p>
    <w:p w14:paraId="698FF33D" w14:textId="77777777" w:rsidR="00D56E61" w:rsidRDefault="000044CD">
      <w:r>
        <w:lastRenderedPageBreak/>
        <w:t xml:space="preserve">Natürlich gehören Clowns in die Manege. So war Bernhard Pauls Bühnenidentität von Beginn an Zippo, und er entwickelte viele weitere Figuren. Ihr Markenzeichen: Weißclowns mit oft elegantem Kostüm und vornehmer Gesichtsbemalung. Typisch für den Zirkus ist außerdem, dass jede Besucherin und jeder Besucher vor der Vorstellung einen roten Farbtupfer auf die Nase </w:t>
      </w:r>
      <w:proofErr w:type="gramStart"/>
      <w:r>
        <w:t>bekommt</w:t>
      </w:r>
      <w:proofErr w:type="gramEnd"/>
      <w:r>
        <w:t xml:space="preserve">. Vergangenes Jahr im November war Joyce B. mit ihrem Lebensgefährten im Circus Roncalli. „Wieder mit roter Nasenspitze in die Show zu gehen, hat mich zu Tränen gerührt.“ </w:t>
      </w:r>
    </w:p>
    <w:p w14:paraId="52735C4D" w14:textId="77777777" w:rsidR="00D56E61" w:rsidRDefault="000044CD">
      <w:r>
        <w:t xml:space="preserve">Gänsehautmomente gab es auch dieses Mal: „Artistische Darbietungen, ein Ballon mit Korb, der durch das Zelt flog, Projektionen und am Schluss noch ein kleiner Zug, der durch das Zelt fuhr“, schwärmt Joyce B. Wer sich gerne verzaubern lassen und wieder wie ein Kind fühlen möchte, dem legt sie die Roncalli-Welt ans Herz. Alle Infos zur Jubiläumstournee unter </w:t>
      </w:r>
      <w:hyperlink r:id="rId12">
        <w:r>
          <w:rPr>
            <w:color w:val="0015B7"/>
          </w:rPr>
          <w:t>www.roncalli.de</w:t>
        </w:r>
      </w:hyperlink>
      <w:r>
        <w:t xml:space="preserve"> </w:t>
      </w:r>
      <w:r>
        <w:rPr>
          <w:b/>
        </w:rPr>
        <w:t xml:space="preserve"> Elisabeth Antritter</w:t>
      </w:r>
    </w:p>
    <w:p w14:paraId="2EA8DA74" w14:textId="77777777" w:rsidR="00D56E61" w:rsidRDefault="000044CD">
      <w:pPr>
        <w:pStyle w:val="berschrift1"/>
      </w:pPr>
      <w:bookmarkStart w:id="31" w:name="_Toc227740068"/>
      <w:r>
        <w:t>Tanzende Perlenaus Luft und Glanz</w:t>
      </w:r>
      <w:bookmarkEnd w:id="31"/>
    </w:p>
    <w:p w14:paraId="1ED15DDF" w14:textId="77777777" w:rsidR="00D56E61" w:rsidRDefault="000044CD">
      <w:pPr>
        <w:pStyle w:val="Vorspann"/>
      </w:pPr>
      <w:r>
        <w:t xml:space="preserve">Groß und Klein lieben Seifenblasen. Sie laden zum Spielen und Experimentieren ein, sind ein Klassiker im Zirkus und in der Straßenkunst. </w:t>
      </w:r>
    </w:p>
    <w:p w14:paraId="610B03A9" w14:textId="77777777" w:rsidR="00D56E61" w:rsidRDefault="000044CD">
      <w:r>
        <w:t>Jeder hat schon als Kind bewundert, wie Seifenblasen wie von Zauberhand gelenkt durch die Luft fliegen. Es bedarf besonderer Geschicklichkeit, sie zu fangen, ohne dass sie platzen. Seifenblasen schillern in Regenbogenfarben und bestehen nur flüchtig. Doch sie sind alles andere als banal: Sie existieren dank des Prinzips der Oberflächenspannung.</w:t>
      </w:r>
    </w:p>
    <w:p w14:paraId="7E984774" w14:textId="77777777" w:rsidR="00D56E61" w:rsidRDefault="000044CD">
      <w:r>
        <w:t xml:space="preserve">Wer Seifenblasen als Teil von Physik und Mathematik spielerisch erforschen möchte, hat dazu Gelegenheit. In Wissenschaftsmuseen gibt es immer wieder Mitmach-bereiche zum Thema Seifenblasen. Dort lassen sich hauchdünne Vorhänge aus Seifenlauge oder eckige Blasen formen. Beispiele für Einrichtungen sind das Science Center </w:t>
      </w:r>
      <w:proofErr w:type="spellStart"/>
      <w:r>
        <w:t>Spectrum</w:t>
      </w:r>
      <w:proofErr w:type="spellEnd"/>
      <w:r>
        <w:t xml:space="preserve"> in Berlin, das </w:t>
      </w:r>
      <w:proofErr w:type="spellStart"/>
      <w:r>
        <w:t>phaeno</w:t>
      </w:r>
      <w:proofErr w:type="spellEnd"/>
      <w:r>
        <w:t xml:space="preserve"> Science Center Wolfsburg oder das Kindermuseum München. Im Nachbarland Niederlande ist das Nemo Science Museum in Amsterdam zu empfehlen.  </w:t>
      </w:r>
      <w:proofErr w:type="spellStart"/>
      <w:r>
        <w:rPr>
          <w:b/>
        </w:rPr>
        <w:t>ant</w:t>
      </w:r>
      <w:proofErr w:type="spellEnd"/>
    </w:p>
    <w:p w14:paraId="32FA1DE9" w14:textId="77777777" w:rsidR="00D56E61" w:rsidRDefault="000044CD">
      <w:pPr>
        <w:pStyle w:val="berschrift1"/>
      </w:pPr>
      <w:bookmarkStart w:id="32" w:name="_Toc227740069"/>
      <w:r>
        <w:t>Bunte Welt der Schmetterlinge</w:t>
      </w:r>
      <w:bookmarkEnd w:id="32"/>
    </w:p>
    <w:p w14:paraId="405A355B" w14:textId="77777777" w:rsidR="00D56E61" w:rsidRDefault="000044CD">
      <w:pPr>
        <w:pStyle w:val="Standard-Fett"/>
      </w:pPr>
      <w:r>
        <w:t>Die Falter sind eine Augenweide und beflügeln seit jeher die Fantasie der Menschen</w:t>
      </w:r>
    </w:p>
    <w:p w14:paraId="5FBDC95C" w14:textId="77777777" w:rsidR="00D56E61" w:rsidRDefault="000044CD">
      <w:pPr>
        <w:pStyle w:val="Vorspann"/>
      </w:pPr>
      <w:r>
        <w:t xml:space="preserve">Etwa 3700 Schmetterlingsarten gibt es in Deutschland. Dabei wird zwischen den farbenfrohen Tagfaltern und den Nachtfaltern unterschieden. </w:t>
      </w:r>
    </w:p>
    <w:p w14:paraId="0EE2BE71" w14:textId="77777777" w:rsidR="00D56E61" w:rsidRDefault="000044CD">
      <w:r>
        <w:t xml:space="preserve">„Schmetterling, du kleines Ding, </w:t>
      </w:r>
      <w:proofErr w:type="spellStart"/>
      <w:r>
        <w:t>such</w:t>
      </w:r>
      <w:proofErr w:type="spellEnd"/>
      <w:r>
        <w:t xml:space="preserve"> dir eine Tänzerin!“ Viele kennen dieses Kinderlied, dessen Autor leider unbekannt ist. Schmetterlinge flattern und tanzen im wahrsten Sinne des Wortes </w:t>
      </w:r>
      <w:r>
        <w:lastRenderedPageBreak/>
        <w:t xml:space="preserve">zusammen oder von Blume zu Blume. Man kann sich nicht an ihnen sattsehen. Dabei machen die auffällig bunten Schmetterlinge, die tagsüber aktiv sind, nur etwa fünf Prozent der heimischen Schmetterlingsarten aus. Alle anderen rund 3500 Arten sind Nachtfalter. Die Farbmuster dienen der Fortpflanzung, als Tarnung, aber auch zum Warnen vor natürlichen Feinden. Sehr viele Arten sind gefährdet und stehen laut Bund für Umwelt und Naturschutz (BUND) auf der Roten Liste der bedrohten Arten, etwa, weil Lebensräume zerstört werden oder sie Umweltgiften ausgesetzt sind. </w:t>
      </w:r>
    </w:p>
    <w:p w14:paraId="2BB0BDBC" w14:textId="77777777" w:rsidR="00D56E61" w:rsidRDefault="000044CD">
      <w:r>
        <w:t xml:space="preserve">Die Verwandlung von der unscheinbaren Raupe in einen prächtigen Schmetterling hat Menschen schon immer fasziniert. Doch Schmetterlinge sind nicht nur für ihre Schönheit bekannt, sondern auch für ihre Rolle als Bestäuber von Blüten. </w:t>
      </w:r>
    </w:p>
    <w:p w14:paraId="366B901E" w14:textId="77777777" w:rsidR="00D56E61" w:rsidRDefault="000044CD">
      <w:r>
        <w:t>Der Zitronenfalter ist der erste, der über die Wiesen flattert. Er ist schon ab Februar aktiv, denn er hat eine Art Frostschutzmittel im Blut, weshalb er bei bis zu minus 20 Grad überleben kann. Ein Zitronenfalter kann dadurch als ausgewachsener Schmetterling überwintern. Er hängt dabei oft an Ästen, Blättern oder Grasbüscheln und gehört zu den langlebigsten Schmetterlingen.</w:t>
      </w:r>
    </w:p>
    <w:p w14:paraId="578498ED" w14:textId="77777777" w:rsidR="00D56E61" w:rsidRDefault="000044CD">
      <w:pPr>
        <w:pStyle w:val="Zwischentitel"/>
      </w:pPr>
      <w:r>
        <w:t xml:space="preserve">Im Schwirrflug </w:t>
      </w:r>
    </w:p>
    <w:p w14:paraId="14EBA79F" w14:textId="2FA68103" w:rsidR="00D56E61" w:rsidRPr="00E4777B" w:rsidRDefault="000044CD">
      <w:pPr>
        <w:rPr>
          <w:b/>
          <w:bCs/>
        </w:rPr>
      </w:pPr>
      <w:r>
        <w:t xml:space="preserve">Ab März ist das Tagpfauenauge unterwegs. Dieser Schmetterling ist unverkennbar. Er hat eine blaue Augenzeichnung auf rötlichen Flügeln. Der Schwalbenschwanz mit einer Flügelspannweite von bis zu 80 Millimetern ist einer der größten Tagfalter, die es hierzulande gibt. Wegen seiner Zeichnung und der auffälligen Verlängerung seiner Flügel ist er einzigartig. Zu den schönsten Schmetterlingen Deutschlands gehört auch der Admiral. Er trägt eine rote Binde auf dunkelbraunem Grund. Auffällig ist auch das Taubenschwänzchen. Dieser Schmetterling könnte sogar mit einem Kolibri verwechselt werden, weil er im Schwirrflug vor Blüten verharrt. Weitere Infos unter </w:t>
      </w:r>
      <w:hyperlink r:id="rId13" w:history="1">
        <w:r w:rsidR="00E4777B" w:rsidRPr="0098547B">
          <w:rPr>
            <w:rStyle w:val="Hyperlink"/>
          </w:rPr>
          <w:t>www.bund.net/Schmetterling</w:t>
        </w:r>
      </w:hyperlink>
      <w:r w:rsidR="00E4777B">
        <w:t xml:space="preserve"> </w:t>
      </w:r>
      <w:r w:rsidRPr="00E4777B">
        <w:rPr>
          <w:b/>
          <w:bCs/>
        </w:rPr>
        <w:t xml:space="preserve">Petra J. Huschke </w:t>
      </w:r>
    </w:p>
    <w:p w14:paraId="2F8A4B57" w14:textId="77777777" w:rsidR="00D56E61" w:rsidRDefault="000044CD">
      <w:pPr>
        <w:pStyle w:val="berschrift1"/>
      </w:pPr>
      <w:bookmarkStart w:id="33" w:name="_Toc227740070"/>
      <w:r>
        <w:t>Frische Luft, kleine Snacks und Blick nach vorn</w:t>
      </w:r>
      <w:bookmarkEnd w:id="33"/>
      <w:r>
        <w:t xml:space="preserve"> </w:t>
      </w:r>
    </w:p>
    <w:p w14:paraId="67791481" w14:textId="77777777" w:rsidR="00D56E61" w:rsidRDefault="000044CD">
      <w:pPr>
        <w:pStyle w:val="Standard-Fett"/>
      </w:pPr>
      <w:r>
        <w:t>Gegen Reiseübelkeit können viele Maßnahmen helfen – Auch der Sitzplatz spielt eine Rolle</w:t>
      </w:r>
    </w:p>
    <w:p w14:paraId="2B149924" w14:textId="77777777" w:rsidR="00D56E61" w:rsidRDefault="000044CD">
      <w:pPr>
        <w:pStyle w:val="Vorspann"/>
      </w:pPr>
      <w:r>
        <w:t xml:space="preserve">Ob zu Land, zu Wasser oder in der Luft – auf die schwankenden Bewegungen bei einer Reise reagieren viele Menschen mit Übelkeit. Vor allem Kinder zwischen zwei und zwölf Jahren sowie manche Frauen sind davon betroffen. Doch es lässt sich etwas dagegen tun. </w:t>
      </w:r>
    </w:p>
    <w:p w14:paraId="5043D2B8" w14:textId="77777777" w:rsidR="00D56E61" w:rsidRDefault="000044CD">
      <w:r>
        <w:t xml:space="preserve">Die Reisekrankheit oder Kinetose entsteht durch die widersprüchlichen Informationen, die das Gleichgewichtsorgan im Innenohr und die Augen zeitgleich an das zentrale Nervensystem senden. Während Reisende nur die Vorwärtsbewegung sehen, registriert der Gleichgewichtssinn </w:t>
      </w:r>
      <w:r>
        <w:lastRenderedPageBreak/>
        <w:t xml:space="preserve">auch </w:t>
      </w:r>
      <w:proofErr w:type="gramStart"/>
      <w:r>
        <w:t>die  schwankenden</w:t>
      </w:r>
      <w:proofErr w:type="gramEnd"/>
      <w:r>
        <w:t xml:space="preserve"> Seitwärtsbewegungen von Auto, Flugzeug oder Schiff. Kinder reagieren darauf besonders empfindlich, Babys hingegen noch nicht.</w:t>
      </w:r>
    </w:p>
    <w:p w14:paraId="54F7B21C" w14:textId="77777777" w:rsidR="00D56E61" w:rsidRDefault="000044CD">
      <w:pPr>
        <w:pStyle w:val="Zwischentitel"/>
      </w:pPr>
      <w:r>
        <w:t>Übelkeit und Schwindel</w:t>
      </w:r>
    </w:p>
    <w:p w14:paraId="3D78D123" w14:textId="77777777" w:rsidR="00D56E61" w:rsidRDefault="000044CD">
      <w:r>
        <w:t xml:space="preserve">Die meisten Menschen gewöhnen sich nach einiger Zeit daran. Gelingt das nicht, kommt es zu Schwindel, Schweißausbrüchen und Übelkeit bis hin zum Erbrechen. Auch Kopfschmerzen, Müdigkeit oder Benommenheit können auftreten. Zum Glück gibt es einige Maßnahmen, um eine Reisekrankheit zu verhindern oder zu lindern. </w:t>
      </w:r>
    </w:p>
    <w:p w14:paraId="5EFBF3F2" w14:textId="77777777" w:rsidR="00D56E61" w:rsidRDefault="000044CD">
      <w:r>
        <w:t xml:space="preserve">Nicht ratsam ist es, während der Fahrt zu lesen. Buch, Handy oder Tablet sollten beiseitegelegt werden. Idealerweise wird bereits dann eine Pause eingelegt, wenn sich die Übelkeit ankündigt. Dabei sollte man aus dem Auto aussteigen und frische Luft schnappen. Wird die Fahrt fortgesetzt, richtet man den Blick nach vorn auf die Straße oder in die Ferne. Der Kopf wird dabei ruhig gehalten. Auch das Öffnen der Fenster oder ein kühlendes Taschentuch im Nacken können Übelkeit verhindern. </w:t>
      </w:r>
    </w:p>
    <w:p w14:paraId="02CA68A7" w14:textId="77777777" w:rsidR="00D56E61" w:rsidRDefault="000044CD">
      <w:r>
        <w:t xml:space="preserve">Der geeignete Sitzplatz kann dazu beitragen, eine Reisekrankheit zu vermeiden. Im Auto ist dies der Beifahrersitz, weil hier Bewegungen besser eingeschätzt werden können. Bei kleinen Kindern, die noch nicht vorn sitzen </w:t>
      </w:r>
      <w:proofErr w:type="gramStart"/>
      <w:r>
        <w:t>dürfen,  sollte</w:t>
      </w:r>
      <w:proofErr w:type="gramEnd"/>
      <w:r>
        <w:t xml:space="preserve"> darauf geachtet werden, dass vom Platz auf der Rückbank aus freie Sicht in Fahrtrichtung herrscht. Reist man mit dem Schiff oder Flugzeug, empfiehlt es sich, einen Platz in der Mitte auszuwählen, weil dort die Schwankungen nicht so intensiv wahrgenommen werden. </w:t>
      </w:r>
    </w:p>
    <w:p w14:paraId="2A1D8B10" w14:textId="77777777" w:rsidR="00D56E61" w:rsidRDefault="000044CD">
      <w:r>
        <w:t>Frische Luft und regelmäßige Pausen sind bei langen Autofahrten wichtig. Ohnehin können schlechte Gerüche, wie beispielsweise Essensreste oder ein stark duftender Lufterfrischer, eine Übelkeit beschleunigen. Im Auto sollte keinesfalls geraucht werden. Auch Hitze bekommt vielen Menschen nicht gut. Dagegen hilft Lüften oder eine moderat eingestellte Klimaanlage.</w:t>
      </w:r>
    </w:p>
    <w:p w14:paraId="4A6CA7BA" w14:textId="7EF4B93E" w:rsidR="00D56E61" w:rsidRDefault="000044CD">
      <w:r>
        <w:t>Ist der Magen bei einer Reise</w:t>
      </w:r>
      <w:r w:rsidR="00E4777B">
        <w:t xml:space="preserve"> </w:t>
      </w:r>
      <w:r>
        <w:t>zu voll oder zu leer, rebelliert er. Deshalb ist es ratsam, vor der Abfahrt eine leichtere Mahlzeit einzunehmen und kleine Snacks für die Reise vorzubereiten, die das Verdauungssystem nicht überfordern. Das können trockene Lebensmittel wie Brot, Toast, Salzgebäck und Zwieback sein, aber auch Apfelstücke, Bananen oder Gemüsesticks.</w:t>
      </w:r>
      <w:r w:rsidR="00E4777B">
        <w:t xml:space="preserve"> </w:t>
      </w:r>
      <w:r>
        <w:t xml:space="preserve">Ohnehin scheinen Kaubewegungen den Magen zu beruhigen und zu verhindern, dass er überreagiert. Von kohlensäurehaltigen Getränken sollte man während einer Fahrt die Finger lassen. Besser vertragen werden stilles Wasser und Tee. </w:t>
      </w:r>
    </w:p>
    <w:p w14:paraId="456B5CEB" w14:textId="77777777" w:rsidR="00D56E61" w:rsidRDefault="000044CD">
      <w:pPr>
        <w:pStyle w:val="Zwischentitel"/>
      </w:pPr>
      <w:r>
        <w:t>Medikament macht müde</w:t>
      </w:r>
    </w:p>
    <w:p w14:paraId="42D86EC0" w14:textId="77777777" w:rsidR="00D56E61" w:rsidRDefault="000044CD">
      <w:r>
        <w:t xml:space="preserve">Bleiben diese Maßnahmen ohne Wirkung, kann die Einnahme eines Medikaments gegen Reiseübelkeit helfen. Meist enthalten diese Dimenhydrinat oder andere Antihistaminika. Diese Wirkstoffe blockieren die </w:t>
      </w:r>
      <w:proofErr w:type="spellStart"/>
      <w:r>
        <w:t>Histaminrezeptoren</w:t>
      </w:r>
      <w:proofErr w:type="spellEnd"/>
      <w:r>
        <w:t xml:space="preserve">, um Schwindel, Übelkeit und Erbrechen zu unterdrücken. Eine häufige Nebenwirkung ist Müdigkeit. Am besten wird das Medikament bereits vor der Fahrt eingenommen. Bei Kindern dürfen Arzneimittel nur nach Rücksprache mit einem Kinderarzt eingesetzt werden. </w:t>
      </w:r>
    </w:p>
    <w:p w14:paraId="041D8B41" w14:textId="77777777" w:rsidR="00D56E61" w:rsidRDefault="000044CD">
      <w:r>
        <w:t xml:space="preserve">Darüber hinaus kann auch Ingwer Reiseübelkeit lindern. Hartgesottene kauen die Wurzel pur. Man kann aus ihr auch einen Tee kochen oder den Wirkstoff als Kapsel einnehmen.   </w:t>
      </w:r>
      <w:r>
        <w:rPr>
          <w:b/>
        </w:rPr>
        <w:t>Annette Liebmann</w:t>
      </w:r>
    </w:p>
    <w:p w14:paraId="7C73E55F" w14:textId="77777777" w:rsidR="00D56E61" w:rsidRDefault="000044CD">
      <w:pPr>
        <w:pStyle w:val="berschrift1"/>
      </w:pPr>
      <w:bookmarkStart w:id="34" w:name="_Toc227740071"/>
      <w:r>
        <w:lastRenderedPageBreak/>
        <w:t>„Wer an die Macht der Kapitalmärkte glaubt, irrt“</w:t>
      </w:r>
      <w:bookmarkEnd w:id="34"/>
    </w:p>
    <w:p w14:paraId="05336686" w14:textId="77777777" w:rsidR="00D56E61" w:rsidRDefault="000044CD">
      <w:pPr>
        <w:pStyle w:val="Standard-Fett"/>
      </w:pPr>
      <w:r>
        <w:t>Journalist Andreas Hoffmann entlarvt in seinem Buch „Die erfundene Bedrohung“ Mythen um die gesetzliche Rente</w:t>
      </w:r>
    </w:p>
    <w:p w14:paraId="1FF0E3A5" w14:textId="77777777" w:rsidR="00D56E61" w:rsidRDefault="000044CD">
      <w:pPr>
        <w:pStyle w:val="Vorspann"/>
      </w:pPr>
      <w:r>
        <w:t>Es gibt wenige sozialpolitische Diskussionen, die so komplex und voller politischer Brisanz sind, wie die über die Zukunftsfähigkeit des deutschen Rentensystems.</w:t>
      </w:r>
    </w:p>
    <w:p w14:paraId="7759F6EC" w14:textId="77777777" w:rsidR="00D56E61" w:rsidRDefault="000044CD">
      <w:r>
        <w:t xml:space="preserve">Die häufig sehr emotionsgeladenen Debatten um die Zukunft der gesetzlichen Rente berühren viele Grundsatzfragen zu Solidarität und Gerechtigkeit. Die Geldsummen, die in der Rentenversicherung und auch im Bundeshaushalt dazu bewegt werden, sind enorm. Zudem sind Debatten von Fachbegriffen, Zahlen und Mechanismen geprägt, die sie für Laien unverständlich machen. </w:t>
      </w:r>
    </w:p>
    <w:p w14:paraId="5162AE99" w14:textId="77777777" w:rsidR="00D56E61" w:rsidRDefault="000044CD">
      <w:r>
        <w:t xml:space="preserve">Ein Faktor, der diese Diskussionen ständig verschärft, ist der scheinbar stärker werdende demografische Druck. Deutschland hat eine der ältesten Bevölkerungen weltweit und immer mehr Seniorinnen und Senioren sind auf dem Arbeitsmarkt sehr aktiv. Das bewährte Umlageverfahren gerät also nur scheinbar unter Druck, wenn weniger Beitragszahlerinnen und -zahler einer steigenden Zahl von Rentnerinnen und Rentnern gegenüberstehen. </w:t>
      </w:r>
    </w:p>
    <w:p w14:paraId="51D10EF4" w14:textId="77777777" w:rsidR="00D56E61" w:rsidRDefault="000044CD">
      <w:pPr>
        <w:pStyle w:val="Zwischentitel"/>
      </w:pPr>
      <w:r>
        <w:t>Gängige Mythen</w:t>
      </w:r>
    </w:p>
    <w:p w14:paraId="5C378BA4" w14:textId="77777777" w:rsidR="00D56E61" w:rsidRDefault="000044CD">
      <w:r>
        <w:t>Der Journalist Andreas Hoffmann stellt in seinem aktuellen Buch „Die erfundene Bedrohung“ die weit verbreitete Angst vor dem demografischen Wandel grundsätzlich in Frage und entlarvt dabei gängige Mythen rund um die gesetzliche Rente in Deutschland. Ein demografischer Kollaps und ein damit einhergehender Zusammenbruch des deutschen Rentensystems werden immer wieder vorausgesagt.</w:t>
      </w:r>
    </w:p>
    <w:p w14:paraId="59F50D16" w14:textId="77777777" w:rsidR="00D56E61" w:rsidRDefault="000044CD">
      <w:r>
        <w:t>Hoffmann sagt: „Wir alle, und vor allem die Medien, halten solche Prognosen für die Zehn Gebote, doch das sind sie nicht.“ Der vielfach beschworene Kollaps ist seit der Gründung der Deutschen Rentenversicherung im Jahr 1891 noch nie eingetreten.</w:t>
      </w:r>
    </w:p>
    <w:p w14:paraId="2903DE29" w14:textId="77777777" w:rsidR="00D56E61" w:rsidRDefault="000044CD">
      <w:pPr>
        <w:pStyle w:val="Zwischentitel"/>
      </w:pPr>
      <w:r>
        <w:t>Angst als Strategie</w:t>
      </w:r>
    </w:p>
    <w:p w14:paraId="146E8438" w14:textId="77777777" w:rsidR="00D56E61" w:rsidRDefault="000044CD">
      <w:r>
        <w:t xml:space="preserve">Hoffmanns These: Die Angst, die mit solchen Untergangsszenarien verbunden ist, hilft politischen Entscheidungsträgern und wirtschaftlichen Interessengruppen, soziale Sicherungssysteme systematisch auszuhöhlen sowie Leistungen zu kürzen. Der studierte Volkswirt ist nach jahrelangen Recherchen davon überzeugt, dass es nichts Sichereres als die gesetzliche Rente gibt. Der Wohlstand der deutschen Gesellschaft hängt nicht vom zahlenmäßigen Verhältnis von Jüngeren zu Älteren ab, sondern vom technologischen Fortschritt, der Produktivität, von Bildung und Qualifikation sowie vor allem von einer gerechten Verteilung von Arbeit, Einkommen und Vermögen. Hoffmann warnt vor Rentenreformen, die komplett auf </w:t>
      </w:r>
      <w:r>
        <w:lastRenderedPageBreak/>
        <w:t>Privatvorsorge und Leistungsabbau setzen. Die Bundespolitik muss vielmehr mit politisch klugen Entscheidungen für stabile Renten sorgen.</w:t>
      </w:r>
    </w:p>
    <w:p w14:paraId="6ED30A18" w14:textId="77777777" w:rsidR="00D56E61" w:rsidRDefault="000044CD">
      <w:r>
        <w:t xml:space="preserve"> „Wer an die Macht der Kapitalmärkte glaubt, etwa dass die Börsen aus mickrigen Beiträgen hohe Renten zaubern, irrt sich. Die Realität der privaten Altersvorsorge der letzten Jahrzehnte war enttäuschend, Riester-, Rürup-Rente und Pflege-Bahr waren Flops. Sie konnten ihre hohen Versprechen nicht einlösen“, so Hoffmann.</w:t>
      </w:r>
    </w:p>
    <w:p w14:paraId="31372BF0" w14:textId="77777777" w:rsidR="00D56E61" w:rsidRDefault="000044CD">
      <w:pPr>
        <w:pStyle w:val="Zwischentitel"/>
      </w:pPr>
      <w:r>
        <w:t>Österreich vorbildlich</w:t>
      </w:r>
    </w:p>
    <w:p w14:paraId="2C9D5B59" w14:textId="77777777" w:rsidR="00D56E61" w:rsidRDefault="000044CD">
      <w:r>
        <w:t>Er verdeutlicht auch an Beispielen, wie es andere Länder geschafft haben, ihre Rentensysteme zu stärken. Beispielsweise hat Österreich mit einem stärkeren Umlagesystem und einem geringeren Fokus auf private Vorsorge die gesetzliche Rente ausgebaut.</w:t>
      </w:r>
    </w:p>
    <w:p w14:paraId="2BC631E9" w14:textId="77777777" w:rsidR="00D56E61" w:rsidRDefault="000044CD">
      <w:r>
        <w:t xml:space="preserve">Dass im Nachbarland alle Bevölkerungsgruppen – nämlich auch Beamtinnen und Beamte sowie Selbständige – ins gleiche System einzahlen, hält Hoffmann für klug: „Das österreichische Rentensystem ist besser, weil die Ruheständler dort durchschnittlich höhere Renten haben als in Deutschland. Das System ist allerdings auch teurer. Gute Rente kostet halt, und diese politische Entscheidung haben die Österreicher getroffen.“  </w:t>
      </w:r>
      <w:r>
        <w:rPr>
          <w:b/>
        </w:rPr>
        <w:t>Julia Frediani</w:t>
      </w:r>
    </w:p>
    <w:p w14:paraId="6D75838B" w14:textId="77777777" w:rsidR="00D56E61" w:rsidRDefault="000044CD">
      <w:pPr>
        <w:pStyle w:val="berschrift1"/>
      </w:pPr>
      <w:bookmarkStart w:id="35" w:name="_Toc227740072"/>
      <w:r>
        <w:t>Fragwürdige Tipps</w:t>
      </w:r>
      <w:bookmarkEnd w:id="35"/>
    </w:p>
    <w:p w14:paraId="50446BC6" w14:textId="77777777" w:rsidR="00D56E61" w:rsidRDefault="000044CD">
      <w:pPr>
        <w:pStyle w:val="Standard-Fett"/>
      </w:pPr>
      <w:r>
        <w:t>Speisepläne: KI-Chatbots nur ergänzend nutzen</w:t>
      </w:r>
    </w:p>
    <w:p w14:paraId="6BE76391" w14:textId="77777777" w:rsidR="00D56E61" w:rsidRDefault="000044CD">
      <w:pPr>
        <w:pStyle w:val="Vorspann"/>
      </w:pPr>
      <w:r>
        <w:t xml:space="preserve">Ernährungspläne lassen sich leicht mithilfe von KI-Anwendungen, </w:t>
      </w:r>
      <w:proofErr w:type="gramStart"/>
      <w:r>
        <w:t>sogenannten  KI</w:t>
      </w:r>
      <w:proofErr w:type="gramEnd"/>
      <w:r>
        <w:t xml:space="preserve">-Chatbots, erstellen. Doch sie zeigen Schwächen, warnt der Verbraucherservice Bayern (VSB). </w:t>
      </w:r>
    </w:p>
    <w:p w14:paraId="26E3AD4F" w14:textId="77777777" w:rsidR="00D56E61" w:rsidRDefault="000044CD">
      <w:r>
        <w:t xml:space="preserve">„Von KI erstellte Ernährungspläne sind häufig ausgewogener als die durchschnittliche Alltagskost in Deutschland“, so der VSB. Dennoch entsprechen Pläne, die KI-Chatbots wie </w:t>
      </w:r>
      <w:proofErr w:type="spellStart"/>
      <w:r>
        <w:t>ChatGPT</w:t>
      </w:r>
      <w:proofErr w:type="spellEnd"/>
      <w:r>
        <w:t xml:space="preserve">, </w:t>
      </w:r>
      <w:proofErr w:type="spellStart"/>
      <w:r>
        <w:t>Perplexity</w:t>
      </w:r>
      <w:proofErr w:type="spellEnd"/>
      <w:r>
        <w:t xml:space="preserve"> oder Gemini entwickeln, nicht immer den Ernährungsempfehlungen der Fachgesellschaften. </w:t>
      </w:r>
    </w:p>
    <w:p w14:paraId="077C7E74" w14:textId="77777777" w:rsidR="00D56E61" w:rsidRDefault="000044CD">
      <w:r>
        <w:t xml:space="preserve">Auffällig ist laut VSB, dass solche Speisepläne oft braunen Reis, Quinoa, Hühnchen, Fisch oder Tofu enthalten. Hier spiegeln sich </w:t>
      </w:r>
      <w:proofErr w:type="gramStart"/>
      <w:r>
        <w:t>aktuelle  Trends</w:t>
      </w:r>
      <w:proofErr w:type="gramEnd"/>
      <w:r>
        <w:t xml:space="preserve"> wider – wie etwa der zu eiweißreicher Ernährung. Allerdings kann das dazu führen, dass </w:t>
      </w:r>
      <w:proofErr w:type="spellStart"/>
      <w:r>
        <w:t>Einweißgehalte</w:t>
      </w:r>
      <w:proofErr w:type="spellEnd"/>
      <w:r>
        <w:t xml:space="preserve"> häufig über den wissenschaftlichen Empfehlungen liegen. Häufig mangelt es dagegen an notwendigen Mikronährstoffen, wie Eisen oder Calcium.</w:t>
      </w:r>
    </w:p>
    <w:p w14:paraId="4E0BD7F2" w14:textId="77777777" w:rsidR="00D56E61" w:rsidRDefault="000044CD">
      <w:pPr>
        <w:pStyle w:val="Zwischentitel"/>
      </w:pPr>
      <w:r>
        <w:t>Gesunde Ernährung</w:t>
      </w:r>
    </w:p>
    <w:p w14:paraId="37683468" w14:textId="77777777" w:rsidR="00D56E61" w:rsidRDefault="000044CD">
      <w:r>
        <w:t>Der VSB empfiehlt deshalb, KI-Chatbots nur als Ergänzung zu betrachten. Sie können dabei unterstützen, sich mit gesunder Ernährung auseinanderzusetzen, sich inspirieren zu lassen, neue Rezepte auszuprobieren oder Nährstoffe und Energiegehalte zu recherchieren.</w:t>
      </w:r>
    </w:p>
    <w:p w14:paraId="33AF5D49" w14:textId="77777777" w:rsidR="00D56E61" w:rsidRDefault="000044CD">
      <w:r>
        <w:lastRenderedPageBreak/>
        <w:t>Vorsicht ist geboten, wenn Menschen aus verschiedenen Gründen auf ihre Ernährung achten müssen. Das kann bei Schwangerschaft und Stillzeit, Erkrankungen, Allergien, Unverträglichkeiten oder veganer Ernährung der Fall sein. Hier würden KI-Chatbots manchmal auch problematische Empfehlungen geben, so der VSB.</w:t>
      </w:r>
    </w:p>
    <w:p w14:paraId="699A9BC0" w14:textId="77777777" w:rsidR="00D56E61" w:rsidRDefault="000044CD">
      <w:r>
        <w:t>Zertifizierte Ernährungsfachkräfte beraten zu Ernährung, Gewichtsmanagement oder Unverträglichkeiten. Auch Verbraucherzentralen und Fachgesellschaften wie die Deutsche Gesellschaft für Ernährung (</w:t>
      </w:r>
      <w:proofErr w:type="gramStart"/>
      <w:r>
        <w:t>DGE)  informieren</w:t>
      </w:r>
      <w:proofErr w:type="gramEnd"/>
      <w:r>
        <w:t xml:space="preserve"> umfassend zu gesunder Ernährung. Bei Beschwerden oder chronischen Erkrankungen können oft die Hausärztin oder der Hausarzt weiterhelfen.  </w:t>
      </w:r>
      <w:proofErr w:type="spellStart"/>
      <w:r>
        <w:rPr>
          <w:b/>
        </w:rPr>
        <w:t>ken</w:t>
      </w:r>
      <w:proofErr w:type="spellEnd"/>
    </w:p>
    <w:p w14:paraId="6B55F39B" w14:textId="77777777" w:rsidR="00D56E61" w:rsidRDefault="000044CD">
      <w:pPr>
        <w:pStyle w:val="berschrift1"/>
      </w:pPr>
      <w:bookmarkStart w:id="36" w:name="_Toc227740073"/>
      <w:r>
        <w:t>Sind Sie kreditwürdig?</w:t>
      </w:r>
      <w:bookmarkEnd w:id="36"/>
    </w:p>
    <w:p w14:paraId="5B6F7FDC" w14:textId="77777777" w:rsidR="00D56E61" w:rsidRDefault="000044CD">
      <w:pPr>
        <w:pStyle w:val="Standard-Fett"/>
      </w:pPr>
      <w:r>
        <w:t>Neue Schufa-Regeln sorgen für mehr Transparenz</w:t>
      </w:r>
    </w:p>
    <w:p w14:paraId="5F89132E" w14:textId="77777777" w:rsidR="00D56E61" w:rsidRDefault="000044CD">
      <w:pPr>
        <w:pStyle w:val="Vorspann"/>
      </w:pPr>
      <w:r>
        <w:t xml:space="preserve">Egal, ob Handyvertrag, Mietwohnung, Kredit oder Ratenkauf – ohne Schufa-Auskunft ist heute vieles nicht möglich. Auch bei der Eröffnung eines Girokontos oder beim Online-Shopping auf Rechnung wird häufig die Bonität überprüft. Unternehmen wollen </w:t>
      </w:r>
      <w:proofErr w:type="spellStart"/>
      <w:r>
        <w:t>sosicherstellen</w:t>
      </w:r>
      <w:proofErr w:type="spellEnd"/>
      <w:r>
        <w:t>, dass Rechnungen zuverlässig bezahlt werden. Die Schufa sammelt dafür Daten über das bisherige Zahlungsverhalten und gibt eine Einschätzung der Kreditwürdigkeit ab.</w:t>
      </w:r>
    </w:p>
    <w:p w14:paraId="28B1BA02" w14:textId="77777777" w:rsidR="00D56E61" w:rsidRDefault="000044CD">
      <w:r>
        <w:t>Die Abkürzung Schufa steht übrigens für „Schutzgemeinschaft für allgemeine Kreditsicherung“. Viele halten sie für eine staatliche Behörde. Das ist jedoch ein Irrtum. Tatsächlich handelt es sich um ein privates Unternehmen, das Informationen über das Zahlungsverhalten sammelt und daraus die Kreditwürdigkeit bewertet. Über mehr als 68 Millionen Bürgerinnen und Bürger liegen der Schufa Daten vor – neben grundlegenden Angaben wie Name oder Alter auch Informationen darüber, wie zuverlässig jemand in der Vergangenheit mit Krediten und Zahlungsverpflichtungen umgegangen ist.</w:t>
      </w:r>
    </w:p>
    <w:p w14:paraId="4539A097" w14:textId="77777777" w:rsidR="00D56E61" w:rsidRDefault="000044CD">
      <w:r>
        <w:t>Und so funktioniert die Schufa: Das Unternehmen stellt seine gesammelten Daten und Bewertungen Vertragspartnern wie zum Beispiel Vermietern, Online-Händlern oder Banken zur Verfügung, in der Regel gegen Bezahlung. Diese melden im Gegenzug der Schufa zurück, ob Mieten, Bestellungen oder Kredite zuverlässig bezahlt werden.</w:t>
      </w:r>
    </w:p>
    <w:p w14:paraId="4ED28DBB" w14:textId="77777777" w:rsidR="00D56E61" w:rsidRDefault="000044CD">
      <w:pPr>
        <w:pStyle w:val="Zwischentitel"/>
      </w:pPr>
      <w:r>
        <w:t>Klare Kriterien</w:t>
      </w:r>
    </w:p>
    <w:p w14:paraId="7E9426B5" w14:textId="77777777" w:rsidR="00D56E61" w:rsidRDefault="000044CD">
      <w:r>
        <w:t>Lange Zeit galten die Kriterien der Schufa als undurchsichtig – für viele Menschen war die Bewertung kaum nachvollziehbar. Seit März 2026 hat das Unternehmen sein neues Bewertungssystem jedoch erstmals offengelegt. Der Score basiert nun auf zwölf klar definierten Kriterien statt auf einer Vielzahl schwer durchschaubarer Faktoren. Dazu gehören unter anderem das Alter der ältesten Kreditkarte, die Restlaufzeit eines Kredits, die Anzahl von Anfragen im Bereich Telekommunikation und Online-Handel in den vergangenen zwölf Monaten sowie das Alter der aktuellen Adresse.</w:t>
      </w:r>
    </w:p>
    <w:p w14:paraId="149DDD8D" w14:textId="77777777" w:rsidR="00D56E61" w:rsidRDefault="000044CD">
      <w:r>
        <w:lastRenderedPageBreak/>
        <w:t>Wer wissen möchte, welche Daten die Schufa über die eigene Person gespeichert hat, kann diese kostenlos online einsehen. Voraussetzung dafür ist ein persönlicher Schufa-Account, über den auch der aktuelle Score abrufbar ist. Für den Zugriff ist zunächst eine Registrierung erforderlich, bei der die Identität bestätigt werden muss. Dies erfolgt in der Regel über den Personalausweis mit aktivierter Online-Funktion. Alternativ ist auch eine Identifizierung per Post möglich.</w:t>
      </w:r>
    </w:p>
    <w:p w14:paraId="07491E00" w14:textId="77777777" w:rsidR="00D56E61" w:rsidRDefault="000044CD">
      <w:r>
        <w:rPr>
          <w:b/>
        </w:rPr>
        <w:t xml:space="preserve"> Robert Manu</w:t>
      </w:r>
    </w:p>
    <w:p w14:paraId="1B10AD2F" w14:textId="77777777" w:rsidR="00D56E61" w:rsidRDefault="000044CD">
      <w:pPr>
        <w:pStyle w:val="berschrift1"/>
      </w:pPr>
      <w:bookmarkStart w:id="37" w:name="_Toc227740074"/>
      <w:r>
        <w:t>Kleine Räder, großer Fahrspaß</w:t>
      </w:r>
      <w:bookmarkEnd w:id="37"/>
    </w:p>
    <w:p w14:paraId="69D0ACFA" w14:textId="77777777" w:rsidR="00D56E61" w:rsidRDefault="000044CD">
      <w:pPr>
        <w:pStyle w:val="Standard-Fett"/>
      </w:pPr>
      <w:r>
        <w:t>Kompaktbikes erobern die Städte</w:t>
      </w:r>
    </w:p>
    <w:p w14:paraId="0588E8E9" w14:textId="77777777" w:rsidR="00D56E61" w:rsidRDefault="000044CD">
      <w:pPr>
        <w:pStyle w:val="Vorspann"/>
      </w:pPr>
      <w:r>
        <w:t>Kompaktbikes liegen im Trend. Sie sind wendig, schnell, leicht und sportlich. Manche Hersteller bieten auch faltbare Varianten an.</w:t>
      </w:r>
    </w:p>
    <w:p w14:paraId="705BF04F" w14:textId="77777777" w:rsidR="00D56E61" w:rsidRDefault="000044CD">
      <w:r>
        <w:t xml:space="preserve">Das Gefährt erobert derzeit vor allem die Städte. Die Räder, die aufgrund ihrer kleinen 20-Zoll-Reifen auf den ersten Blick einem Kinderrad ähneln, werden immer öfter nachgefragt. „Wer jemals eines gefahren ist, wird begeistert sein. Das Beschleunigen und die Wendigkeit sind echte Trümpfe“, sagt Thomas Geisler vom </w:t>
      </w:r>
      <w:proofErr w:type="spellStart"/>
      <w:r>
        <w:t>pressedienst</w:t>
      </w:r>
      <w:proofErr w:type="spellEnd"/>
      <w:r>
        <w:t xml:space="preserve"> </w:t>
      </w:r>
      <w:proofErr w:type="spellStart"/>
      <w:r>
        <w:t>fahrrad</w:t>
      </w:r>
      <w:proofErr w:type="spellEnd"/>
      <w:r>
        <w:t xml:space="preserve"> (</w:t>
      </w:r>
      <w:proofErr w:type="spellStart"/>
      <w:r>
        <w:t>pd</w:t>
      </w:r>
      <w:proofErr w:type="spellEnd"/>
      <w:r>
        <w:t>-f).</w:t>
      </w:r>
    </w:p>
    <w:p w14:paraId="121EF359" w14:textId="77777777" w:rsidR="00D56E61" w:rsidRDefault="000044CD">
      <w:r>
        <w:t xml:space="preserve">Man könnte meinen, dass man mit kleinen Laufrädern mehr strampeln muss, aber dem ist nicht so: Der kleinere Umfang der Räder wird durch ein größeres Kettenblatt ausgeglichen. „Entscheidend für ein wirkungsvolles Vorankommen ist nicht die Laufradgröße, sondern die sogenannte Entfaltung. Das ist die Wegstrecke in Metern, die Radfahrende mit einer Umdrehung der Pedalkurbel zurücklegen“, so der </w:t>
      </w:r>
      <w:proofErr w:type="spellStart"/>
      <w:r>
        <w:t>pd</w:t>
      </w:r>
      <w:proofErr w:type="spellEnd"/>
      <w:r>
        <w:t>-f. Mit einem entsprechend übersetzten 20-Zoll-Rad tritt man bei gleicher Geschwindigkeit identisch wie mit einem 28-Zoll-Rad.</w:t>
      </w:r>
    </w:p>
    <w:p w14:paraId="486A5F7E" w14:textId="77777777" w:rsidR="00D56E61" w:rsidRDefault="000044CD">
      <w:r>
        <w:t xml:space="preserve">Die Zielgruppe für Kompaktbikes sind Seniorinnen und Senioren oder Menschen mit gesundheitlichen Einschränkungen. Der Rahmen ermöglicht eine aufrechte Sitzposition für einen guten Überblick. Das Auf- und Absteigen sowie das Anfahren sind einfacher, weil der Schwerpunkt tiefer liegt und man nicht so sehr die Bewegungen des Rads ausbalancieren muss. Auch für Familien, die einen Kinder- oder Lastenanhänger am Rad befestigen, ist das kleine Rad gut geeignet. Beim Transport im Öffentlichen Nahverkehr nimmt es wenig Platz ein.  </w:t>
      </w:r>
      <w:proofErr w:type="spellStart"/>
      <w:r>
        <w:rPr>
          <w:b/>
        </w:rPr>
        <w:t>pet</w:t>
      </w:r>
      <w:proofErr w:type="spellEnd"/>
    </w:p>
    <w:p w14:paraId="33DE4D86" w14:textId="77777777" w:rsidR="00D56E61" w:rsidRDefault="000044CD">
      <w:pPr>
        <w:pStyle w:val="berschrift1"/>
      </w:pPr>
      <w:bookmarkStart w:id="38" w:name="_Toc227740075"/>
      <w:r>
        <w:t>Was sich für Autofahrer ändert</w:t>
      </w:r>
      <w:bookmarkEnd w:id="38"/>
    </w:p>
    <w:p w14:paraId="7250E4F8" w14:textId="77777777" w:rsidR="00D56E61" w:rsidRDefault="000044CD">
      <w:pPr>
        <w:pStyle w:val="Standard-Fett"/>
      </w:pPr>
      <w:r>
        <w:t>Digitaler Führerschein, Abgasnorm „Euro 7“ und höhere Pendlerpauschale</w:t>
      </w:r>
    </w:p>
    <w:p w14:paraId="246CEF63" w14:textId="77777777" w:rsidR="00D56E61" w:rsidRDefault="000044CD">
      <w:pPr>
        <w:pStyle w:val="Vorspann"/>
      </w:pPr>
      <w:r>
        <w:lastRenderedPageBreak/>
        <w:t>Jedes Jahr gibt es neue Regeln, neue Preise oder verpflichtende Neuerungen für Neuwagen, auf die sich Autofahrerinnen und -fahrer hierzulande einstellen müssen. Hier ein kurzer Überblick über wichtige Änderungen für 2026.</w:t>
      </w:r>
    </w:p>
    <w:p w14:paraId="02287505" w14:textId="77777777" w:rsidR="00D56E61" w:rsidRDefault="000044CD">
      <w:r>
        <w:t>Ende dieses Jahres wird der digitale Führerschein in Deutschland eingeführt. Damit ist es künftig möglich, die Fahrerlaubnis über das Smartphone aufzurufen. Wichtig: Der digitale Führerschein ergänzt das Kartenformat, ersetzt es aber nicht. Der digitale Fahrzeugschein ist dagegen bereits über die neue i-Kfz-App auf dem Handy verfügbar.</w:t>
      </w:r>
    </w:p>
    <w:p w14:paraId="651E024D" w14:textId="77777777" w:rsidR="00D56E61" w:rsidRDefault="000044CD">
      <w:r>
        <w:t>Seit Januar gilt für neu zugelassene Autos die zweite Stufe der Abgasnorm „Euro 6e“ als Zwischenschritt zur neuen Norm „Euro 7“. Diese soll ab dem 29. November 2026 für neu entwickelte Pkws und leichte Transporter gelten. Für alle Neuzulassungen wird „Euro 7“ dann ab Ende 2027 relevant. Die Norm schreibt eine präzisere Erfassung ultrafeiner Partikel vor und berücksichtigt erstmals auch den Abrieb von Reifen und Bremsen. Zudem stellt sie höhere Anforderungen an die Haltbarkeit von Abgasreinigungssystemen und Batterien.</w:t>
      </w:r>
    </w:p>
    <w:p w14:paraId="4B4B3ABC" w14:textId="77777777" w:rsidR="00D56E61" w:rsidRDefault="000044CD">
      <w:pPr>
        <w:pStyle w:val="Zwischentitel"/>
      </w:pPr>
      <w:r>
        <w:t>Neue Generation</w:t>
      </w:r>
    </w:p>
    <w:p w14:paraId="20192B52" w14:textId="77777777" w:rsidR="00D56E61" w:rsidRDefault="000044CD">
      <w:r>
        <w:t xml:space="preserve">Für neu entwickelte Autos und leichte Transporter ist seit Januar die Ausstattung mit dem neuen Next-Generation-eCall (NG eCall) Pflicht. Das gilt ab 2027 dann für alle Neuzulassungen. Der NG eCall ist ein automatisches Notrufsystem. Es meldet Unfälle schneller und liefert zugleich deutlich mehr Daten als die alte Version. Bereits ab dem 7. Juli müssen erstmals zugelassene Autos und leichte Nutzfahrzeuge einen Müdigkeitswarner sowie ein Notbrems-, ein Spurhalte- und ein intelligentes Geschwindigkeitsassistenzsystem an Bord haben. </w:t>
      </w:r>
    </w:p>
    <w:p w14:paraId="009FA749" w14:textId="77777777" w:rsidR="00D56E61" w:rsidRDefault="000044CD">
      <w:r>
        <w:t>Zu Beginn des Jahres wurde die Entfernungspauschale, auch Pendlerpauschale genannt, auf einheitlich 38 Cent ab dem ersten gefahrenen Kilometer erhöht. Bislang wurde dieser Satz erst ab dem 21. Kilometer angewandt, für die ersten 20 Kilometer betrug die Pauschale 30 Cent. Damit erhöhen sich nun die absetzbaren Werbungskosten, was sich in einer höheren Steuererstattung bemerkbar machen kann.</w:t>
      </w:r>
    </w:p>
    <w:p w14:paraId="07E13B5E" w14:textId="77777777" w:rsidR="00D56E61" w:rsidRDefault="000044CD">
      <w:r>
        <w:t xml:space="preserve">Seit Januar werden Elektroautos von der Bundesregierung wieder mit einer Kaufprämie gefördert, um Menschen mit kleinen und mittleren Einkommen beim Wechsel auf Elektromobilität zu unterstützen. Außerdem hat der Bundestag die Steuerbefreiung für reine E-Autos um fünf Jahre bis Ende 2035 verlängert. </w:t>
      </w:r>
    </w:p>
    <w:p w14:paraId="66AF4031" w14:textId="77777777" w:rsidR="00D56E61" w:rsidRDefault="000044CD">
      <w:r>
        <w:t xml:space="preserve">Übrigens: Wer für seinen Urlaub nach oder durch Österreich fährt, kann seine Windschutzscheibe in diesem Jahr noch mit der traditionellen, aber zum Abschied feuerroten Vignette bekleben. Ab Februar 2027 gibt es ausschließlich digitale Varianten, die nicht mehr an das Fahrzeug, sondern an das Kennzeichen gebunden sind.  </w:t>
      </w:r>
      <w:r>
        <w:rPr>
          <w:b/>
        </w:rPr>
        <w:t>Mirko Besch</w:t>
      </w:r>
    </w:p>
    <w:p w14:paraId="6C3E823C" w14:textId="77777777" w:rsidR="00D56E61" w:rsidRDefault="000044CD">
      <w:pPr>
        <w:pStyle w:val="berschrift1"/>
      </w:pPr>
      <w:bookmarkStart w:id="39" w:name="_Toc227740076"/>
      <w:r>
        <w:lastRenderedPageBreak/>
        <w:t>Fernsehstar und Kämpfer für Inklusion</w:t>
      </w:r>
      <w:bookmarkEnd w:id="39"/>
    </w:p>
    <w:p w14:paraId="351725A5" w14:textId="77777777" w:rsidR="00D56E61" w:rsidRDefault="000044CD">
      <w:pPr>
        <w:pStyle w:val="Standard-Fett"/>
      </w:pPr>
      <w:r>
        <w:t>Schauspieler Marcus Mittermeier brilliert in TV-Produktionen und schätzt die Arbeit des Sozialverbands VdK</w:t>
      </w:r>
    </w:p>
    <w:p w14:paraId="540BE981" w14:textId="77777777" w:rsidR="00D56E61" w:rsidRDefault="000044CD">
      <w:pPr>
        <w:pStyle w:val="Vorspann"/>
      </w:pPr>
      <w:r>
        <w:t>In der amüsanten ZDF-Krimireihe „München Mord“ nimmt Marcus Mittermeier als Kommissar Harald Neuhauser Verdächtige fest. Auch privat setzt sich der 56-jährige Schauspieler für Gerechtigkeit ein, so etwa für Inklusion. Das hat er mit dem VdK gemeinsam. Den Verband kennt er von Veranstaltungen und unterstützt dessen Arbeit.</w:t>
      </w:r>
    </w:p>
    <w:p w14:paraId="6809ED67" w14:textId="77777777" w:rsidR="00D56E61" w:rsidRDefault="000044CD">
      <w:r>
        <w:t xml:space="preserve">Als er die Pistole auslösen musste, verzog Marcus Mittermeier das Gesicht. Es knallte – und die ersten Läuferinnen und Läufer eines Wohltätigkeitslaufs starteten ihre Stadionrunde. Der Fernsehstar war ehrenamtlich beim Inklusionsfest </w:t>
      </w:r>
      <w:proofErr w:type="spellStart"/>
      <w:r>
        <w:t>Inklu-Con</w:t>
      </w:r>
      <w:proofErr w:type="spellEnd"/>
      <w:r>
        <w:t xml:space="preserve"> im oberpfälzischen Burglengenfeld dabei, und das Schießen – natürlich mit Platzpatrone – ist offensichtlich nicht seins. Auch als Kommissar Harald Neuhauser in den ZDF-Krimis „München Mord“ sieht man ihn selten mit Waffe, eher setzt er seine Fäuste ein.</w:t>
      </w:r>
    </w:p>
    <w:p w14:paraId="5FE565B4" w14:textId="77777777" w:rsidR="00D56E61" w:rsidRDefault="000044CD">
      <w:pPr>
        <w:pStyle w:val="Zwischentitel"/>
      </w:pPr>
      <w:r>
        <w:t>Mehrere Ehrenämter</w:t>
      </w:r>
    </w:p>
    <w:p w14:paraId="7E7B89B2" w14:textId="77777777" w:rsidR="00D56E61" w:rsidRDefault="000044CD">
      <w:r>
        <w:t>Die Teilhabe von Menschen mit Behinderung ist schon lange ein Anliegen des Schauspielers, wie er bei einem Gespräch mit der VdK-Zeitung betont. Gleich mehrere Ehrenämter hat oder hatte er inne. Bereits 1989 unterstützte Mittermeier im Zivildienst in Regensburg Studierende mit Körperbehinderung. Diese Zeit habe ihn geprägt, und das Thema habe ihn nicht mehr losgelassen, erzählt er. Dank seiner Popularität sei es für ihn leicht, sich gewinnbringend für soziale Projekte einzusetzen.</w:t>
      </w:r>
    </w:p>
    <w:p w14:paraId="645E73AA" w14:textId="77777777" w:rsidR="00D56E61" w:rsidRDefault="000044CD">
      <w:r>
        <w:t>Mittermeier beobachtet die Vorhaben zur aktuellen Gesundheitsreform mit Sorge. Die Streichung der kostenlosen Familien-Mitversicherung wäre für Eltern von kranken oder schwerbehinderten Kindern „ein Schlag ins Gesicht“, kritisiert er. Diese müssten oft bis ins hohe Erwachsenenalter für ihre Kinder unterstützend zur Seite stehen. „Nach dem vorliegenden Plan werden sie bestraft, wenn sie dafür auf eine Festanstellung verzichten.“ Diese Möglichkeit der kostenlosen Mitversicherung dürfe Eltern zum Wohle ihrer Kinder nicht genommen werden.</w:t>
      </w:r>
    </w:p>
    <w:p w14:paraId="1688204B" w14:textId="77777777" w:rsidR="00D56E61" w:rsidRDefault="000044CD">
      <w:r>
        <w:t xml:space="preserve">Gerade auch wegen des Einsatzes für eine sozial gerechte Gesellschaft schätzt er den VdK sehr. „Die Arbeit des Sozialverbands VdK finde ich großartig – sowohl die Rechtsberatung als auch das politische Engagement“, sagt er. „Wir müssen es den betroffenen Menschen deutlich erleichtern, zu ihrem Recht zu kommen“, betont Mittermeier. Sie müssen einfacheren Zugang zu den ihnen zustehenden Leistungen erhalten.  </w:t>
      </w:r>
    </w:p>
    <w:p w14:paraId="7F4BA76C" w14:textId="77777777" w:rsidR="00D56E61" w:rsidRDefault="000044CD">
      <w:r>
        <w:t>Das Thema Inklusion konnte Mittermeier auch schon in seine TV-Tätigkeit einbringen. So schrieb er das Drehbuch für die Folge „Die indische Methode“ von „München Mord“. Darin spielt ein Sportlehrer im Rollstuhl eine zentrale Rolle. Die Arbeit an der Krimireihe mache ihm „viel Spaß“.</w:t>
      </w:r>
    </w:p>
    <w:p w14:paraId="1462D3B2" w14:textId="77777777" w:rsidR="00D56E61" w:rsidRDefault="000044CD">
      <w:pPr>
        <w:pStyle w:val="Zwischentitel"/>
      </w:pPr>
      <w:r>
        <w:lastRenderedPageBreak/>
        <w:t>„Scheitern gehört dazu“</w:t>
      </w:r>
    </w:p>
    <w:p w14:paraId="2E601813" w14:textId="77777777" w:rsidR="00D56E61" w:rsidRDefault="000044CD">
      <w:r>
        <w:t>Das Publikum liebt das skurrile Ermittlerteam, zu dem neben Harald Neuhauser noch Angelika Flierl (Bernadette Heerwagen) und Ludwig Schaller (Alexander Held) gehören. Die Beliebtheit von „München Mord“ liegt laut Mittermeier, der schon bei vielen TV-, Kino- und Theaterproduktionen mitwirkte, an den drei Hauptpersonen, die als Außenseiter gelten. „Das Scheitern gehört zum Menschen dazu“, sagt er. Als Ermittlerteam seien die drei so gut, „</w:t>
      </w:r>
      <w:proofErr w:type="gramStart"/>
      <w:r>
        <w:t>nicht</w:t>
      </w:r>
      <w:proofErr w:type="gramEnd"/>
      <w:r>
        <w:t xml:space="preserve"> weil sie so sind, wie sie sind, sondern obwohl sie so sind“, erläutert Mittermeier. „Es ist toll, was ihr macht“, sei nur eines von vielen Komplimenten, die ihm Menschen auf der Straße schon gesagt haben. Dies bedeute ihm sehr viel und motiviere ihn für die Arbeit am Set.</w:t>
      </w:r>
    </w:p>
    <w:p w14:paraId="37886486" w14:textId="77777777" w:rsidR="00D56E61" w:rsidRDefault="000044CD">
      <w:r>
        <w:t>Während seiner oft wochenlangen Film- und Fernsehengagements hat sich früher meist seine Frau um die drei gemeinsamen Kinder gekümmert. Jetzt sind die beiden Söhne und die Tochter erwachsen und in den Bereichen Medizin und Sozialarbeit ebenfalls für andere Menschen da.</w:t>
      </w:r>
    </w:p>
    <w:p w14:paraId="0685376F" w14:textId="77777777" w:rsidR="00D56E61" w:rsidRDefault="000044CD">
      <w:r>
        <w:t>Von den Filmemachern wird Mittermeier sehr geschätzt. Er mache sich „viele Gedanken“ und setze sich mit ganzer Kraft ein, sagt Anno Saul, Regisseur der beiden neuesten „München Mord“-Folgen, die wie alle anderen in der ZDF-Mediathek abrufbar sind. Marcus Mittermeier habe ein „großes Herz“, fügt Saul hinzu.</w:t>
      </w:r>
    </w:p>
    <w:p w14:paraId="3FAC4D21" w14:textId="77777777" w:rsidR="00D56E61" w:rsidRDefault="000044CD">
      <w:r>
        <w:t xml:space="preserve">Bald wechselt Mittermeier die Seiten: In der am 26. Mai um 20.15 Uhr geplanten Ausstrahlung der ZDF-Reihe „Helen Dorn“ wird er von der Kommissarin festgenommen – und das nach einer gemeinsamen Nacht.  </w:t>
      </w:r>
      <w:r>
        <w:rPr>
          <w:b/>
        </w:rPr>
        <w:t>Sebastian Heise</w:t>
      </w:r>
    </w:p>
    <w:p w14:paraId="5017C07B" w14:textId="77777777" w:rsidR="00D56E61" w:rsidRDefault="000044CD">
      <w:pPr>
        <w:pStyle w:val="berschrift1"/>
      </w:pPr>
      <w:bookmarkStart w:id="40" w:name="_Toc227740077"/>
      <w:r>
        <w:t>Ab ins Feld: Die Erdbeersaison beginnt</w:t>
      </w:r>
      <w:bookmarkEnd w:id="40"/>
    </w:p>
    <w:p w14:paraId="3A401230" w14:textId="77777777" w:rsidR="00D56E61" w:rsidRDefault="000044CD">
      <w:pPr>
        <w:pStyle w:val="Standard-Fett"/>
      </w:pPr>
      <w:r>
        <w:t>Von Ende Mai bis Juli können die leckeren Früchte selbst geerntet werden – Frische ist dabei garantiert</w:t>
      </w:r>
    </w:p>
    <w:p w14:paraId="47069DAB" w14:textId="77777777" w:rsidR="00D56E61" w:rsidRDefault="000044CD">
      <w:pPr>
        <w:pStyle w:val="Vorspann"/>
      </w:pPr>
      <w:r>
        <w:t>Ob als Dessert, als Kuchen oder pur genascht – Erdbeeren sind eine Delikatesse. Ein besonderes Geschmackserlebnis sind die roten Früchte, wenn sie im Garten oder auf dem Erdbeerfeld von Hand geerntet werden. Ende Mai bis Anfang Juni, je nach Witterung, beginnt hierzulande die Erdbeersaison.</w:t>
      </w:r>
    </w:p>
    <w:p w14:paraId="63DB87FA" w14:textId="77777777" w:rsidR="00D56E61" w:rsidRDefault="000044CD">
      <w:r>
        <w:t>Auch wenn sie das ganze Jahr über im Handel erhältlich sind – frische, heimische Früchte schmecken deutlich besser als Importware. Bis Ende Juli heißt es also: ab ins Freiland. Auch wenn das Bücken im Erdbeerfeld einige Mühe macht, so lohnt sich doch der Blick auf volle Körbe oder andere Behältnisse mit den fruchtigen Köstlichkeiten.</w:t>
      </w:r>
    </w:p>
    <w:p w14:paraId="77FC805F" w14:textId="77777777" w:rsidR="00D56E61" w:rsidRDefault="000044CD">
      <w:pPr>
        <w:pStyle w:val="Zwischentitel"/>
      </w:pPr>
      <w:r>
        <w:t>Größere Mengen</w:t>
      </w:r>
    </w:p>
    <w:p w14:paraId="2CD5B4B3" w14:textId="77777777" w:rsidR="00D56E61" w:rsidRDefault="000044CD">
      <w:r>
        <w:lastRenderedPageBreak/>
        <w:t xml:space="preserve">Etwa 3,7 Kilogramm Erdbeeren verspeist jede und jeder Deutsche im Schnitt pro Jahr, teilt die Verbraucherzentrale Nordrhein-Westfalen mit. Ein guter Teil davon ist selbst gepflückt. Die beste Tageszeit dafür ist in den Morgenstunden. </w:t>
      </w:r>
    </w:p>
    <w:p w14:paraId="1D81F7FE" w14:textId="77777777" w:rsidR="00D56E61" w:rsidRDefault="000044CD">
      <w:r>
        <w:t xml:space="preserve">Dass die Erdbeeren erntereif und aromatisch sind, erkennt man an folgenden Merkmalen: Stiele und Blätter sind intensiv grün, die Früchte haben einen satten Rotton, und sie duften. Klarer Vorteil für Selbstpflücker: Sie können sich die besten Erdbeeren vom Feld aussuchen. Am besten wählt man einen sonnigen Tag aus, um die Ernte einzufahren. Denn an regnerischen Tagen verderben die Erdbeeren schneller. Das ist insbesondere für diejenigen wichtig, die gleich größere Mengen ernten, um sie ins Gefrierfach zu geben oder Marmelade einzukochen. </w:t>
      </w:r>
    </w:p>
    <w:p w14:paraId="1E139142" w14:textId="77777777" w:rsidR="00D56E61" w:rsidRDefault="000044CD">
      <w:r>
        <w:t xml:space="preserve">Erdbeeren reifen nach dem Pflücken nicht nach. Deshalb sollten weiße oder nur </w:t>
      </w:r>
      <w:proofErr w:type="spellStart"/>
      <w:r>
        <w:t>halbrote</w:t>
      </w:r>
      <w:proofErr w:type="spellEnd"/>
      <w:r>
        <w:t xml:space="preserve"> Erdbeeren hängen gelassen werden. Am besten fasst man sie direkt am Stiel an. Denn Erdbeeren können sehr leicht Druckstellen bekommen. Der Blattkranz wird idealerweise mitgepflückt. So bleibt die Frucht länger frisch. Zum Sammeln gut geeignet sind flachere Behälter, damit die Früchte auch in größerer Menge nicht matschig werden.</w:t>
      </w:r>
    </w:p>
    <w:p w14:paraId="6FB85D7A" w14:textId="77777777" w:rsidR="00D56E61" w:rsidRDefault="000044CD">
      <w:r>
        <w:t xml:space="preserve">Auf den meisten Erdbeerhöfen ist Naschen während des Selbstpflückens erlaubt. Falls nicht, ist das mit Schildern oder am </w:t>
      </w:r>
      <w:proofErr w:type="gramStart"/>
      <w:r>
        <w:t>Eingang  gekennzeichnet</w:t>
      </w:r>
      <w:proofErr w:type="gramEnd"/>
      <w:r>
        <w:t xml:space="preserve">. Wer nascht, sollte daran denken, dass sich auf den Erdbeeren Rückstände von Pestiziden und Schadstoffen befinden können. Denn auch auf Erdbeerfeldern wird gespritzt, um Schädlinge wie Pilze fernzuhalten. Ansonsten könnten die Früchte zum Beispiel Mehltau, Rotflecken- und Weißfleckenkrankheit bekommen. Für die konventionelle Landwirtschaft gibt es EU-weite Grenzwerte. </w:t>
      </w:r>
    </w:p>
    <w:p w14:paraId="0EE6FC9F" w14:textId="77777777" w:rsidR="00D56E61" w:rsidRDefault="000044CD">
      <w:r>
        <w:t xml:space="preserve">Ohne Pestizide sinkt der Ertrag deutlich, weshalb Bio-Erdbeeren teurer als konventionelle Erdbeeren sind. „Bio-Erdbeeren haben in der Regel keine Pestizidrückstände, weil chemisch-synthetische Pflanzenschutzmittel und Stickstoffdünger im Bio-Anbau verboten sind“, erklärt dazu die Verbraucherzentrale Nordrhein-Westfalen.  </w:t>
      </w:r>
    </w:p>
    <w:p w14:paraId="4E76176F" w14:textId="77777777" w:rsidR="00D56E61" w:rsidRDefault="000044CD">
      <w:r>
        <w:t xml:space="preserve">Vor dem Verzehr sollten Erdbeeren möglichst in einer Schüssel mit kaltem Wasser kurz gewaschen werden. Tipp: Beim </w:t>
      </w:r>
      <w:proofErr w:type="gramStart"/>
      <w:r>
        <w:t>Essen  auf</w:t>
      </w:r>
      <w:proofErr w:type="gramEnd"/>
      <w:r>
        <w:t xml:space="preserve"> dem Feld können die Beeren mit etwas Leitungswasser aus einer mitgebrachten Trinkflasche abgespült werden.</w:t>
      </w:r>
    </w:p>
    <w:p w14:paraId="236DD598" w14:textId="77777777" w:rsidR="00D56E61" w:rsidRDefault="000044CD">
      <w:pPr>
        <w:pStyle w:val="Zwischentitel"/>
      </w:pPr>
      <w:r>
        <w:t>Regional einkaufen</w:t>
      </w:r>
    </w:p>
    <w:p w14:paraId="47A7DAA5" w14:textId="77777777" w:rsidR="00D56E61" w:rsidRDefault="000044CD">
      <w:r>
        <w:t xml:space="preserve">Wer Erdbeeren lieber im Handel kauft, ist mit regionalen Produkten ebenfalls gut bedient. Die Herkunft ist meistens gut gekennzeichnet. Während der Saison sind die begehrten Früchte im Supermarkt auch günstiger. Im Hofladen oder auf dem Wochenmarkt kann man direkt nachfragen, woher die Ware kommt, und </w:t>
      </w:r>
      <w:proofErr w:type="gramStart"/>
      <w:r>
        <w:t>man  unterstützt</w:t>
      </w:r>
      <w:proofErr w:type="gramEnd"/>
      <w:r>
        <w:t xml:space="preserve"> Betriebe vor Ort.</w:t>
      </w:r>
    </w:p>
    <w:p w14:paraId="0D7BCF26" w14:textId="77777777" w:rsidR="00D56E61" w:rsidRDefault="000044CD">
      <w:r>
        <w:t>Erdbeeren enthalten Vitamin C und B-Vitamine, Mineralstoffe, Fruchtsäuren, Pektin, Ballaststoffe und sekundäre Pflanzenstoffe. Zu etwa 90 Prozent bestehen sie aus Wasser. Bei 36 Kalorien pro 100 Gramm sind sie ein Genuss ohne Reue. Petra J. Huschke</w:t>
      </w:r>
    </w:p>
    <w:p w14:paraId="61C6AB29" w14:textId="77777777" w:rsidR="00D56E61" w:rsidRDefault="000044CD">
      <w:pPr>
        <w:pStyle w:val="berschrift1"/>
      </w:pPr>
      <w:bookmarkStart w:id="41" w:name="_Toc227740078"/>
      <w:r>
        <w:lastRenderedPageBreak/>
        <w:t>Klare Angaben, mehr Frucht</w:t>
      </w:r>
      <w:bookmarkEnd w:id="41"/>
    </w:p>
    <w:p w14:paraId="1DA1333E" w14:textId="77777777" w:rsidR="00D56E61" w:rsidRDefault="000044CD">
      <w:pPr>
        <w:pStyle w:val="Standard-Fett"/>
      </w:pPr>
      <w:r>
        <w:t>Ab 14. Juni: Neue Regeln für Honig und Konfitüre</w:t>
      </w:r>
    </w:p>
    <w:p w14:paraId="4C3781DA" w14:textId="77777777" w:rsidR="00D56E61" w:rsidRDefault="000044CD">
      <w:pPr>
        <w:pStyle w:val="Vorspann"/>
      </w:pPr>
      <w:r>
        <w:t>Honig ist bei vielen beliebt. Doch woher das von Bienen erzeugte Lebensmittel genau stammt, blieb aufgrund vager Bezeichnungen wie „Mischung aus EU-Ländern und Nicht-EU-Ländern“ bisher oft ungewiss. Das wird sich nun ab dem 14. Juni ändern.</w:t>
      </w:r>
    </w:p>
    <w:p w14:paraId="087D681B" w14:textId="77777777" w:rsidR="00D56E61" w:rsidRDefault="000044CD">
      <w:r>
        <w:t xml:space="preserve">Ab diesem Datum müssen alle Herkunftsländer eines Mischhonigs in absteigender Reihenfolge und mit ihren jeweiligen Anteilen auf dem Etikett erscheinen, und zwar gut sichtbar auf der Vorderseite, teilt der Deutsche Imkerbund mit. Verbraucherinnen und Verbraucher können damit künftig nachvollziehen, woher der Honig im Supermarkt stammt. </w:t>
      </w:r>
    </w:p>
    <w:p w14:paraId="4E0F9A77" w14:textId="77777777" w:rsidR="00D56E61" w:rsidRDefault="000044CD">
      <w:pPr>
        <w:pStyle w:val="Zwischentitel"/>
      </w:pPr>
      <w:r>
        <w:t>Abverkauf erlaubt</w:t>
      </w:r>
    </w:p>
    <w:p w14:paraId="47A5AC15" w14:textId="77777777" w:rsidR="00D56E61" w:rsidRDefault="000044CD">
      <w:r>
        <w:t xml:space="preserve">Einer entsprechenden Änderung der deutschen Honigverordnung hatte der Bundesrat im vergangenen Jahr zugestimmt. Honige, die vor dem 14. Juni abgefüllt und etikettiert werden, dürfen noch abverkauft werden. Die alten, ungenauen Ursprungsangaben werden also noch eine Weile im Supermarkt zu finden sein. </w:t>
      </w:r>
    </w:p>
    <w:p w14:paraId="39C78E33" w14:textId="77777777" w:rsidR="00D56E61" w:rsidRDefault="000044CD">
      <w:r>
        <w:t xml:space="preserve">Auch in der </w:t>
      </w:r>
      <w:proofErr w:type="spellStart"/>
      <w:r>
        <w:t>Konfitürenverordnung</w:t>
      </w:r>
      <w:proofErr w:type="spellEnd"/>
      <w:r>
        <w:t xml:space="preserve"> gibt es zum 14. Juni Änderungen. Zum einen steigt der Mindestfruchtgehalt für Konfitüre von 350 auf 450 Gramm und für Konfitüre Extra von 450 auf 500 Gramm pro Kilogramm. Dies trägt dazu bei, die Zuckermenge zu verringern. </w:t>
      </w:r>
    </w:p>
    <w:p w14:paraId="37A71BEF" w14:textId="77777777" w:rsidR="00D56E61" w:rsidRDefault="000044CD">
      <w:r>
        <w:t xml:space="preserve">Zum anderen wird die Einschränkung der Bezeichnung „Marmelade“ aufgehoben. Diese ist dann nicht mehr nur für Erzeugnisse aus Zitrusfrüchten erlaubt, sondern kann in </w:t>
      </w:r>
      <w:proofErr w:type="gramStart"/>
      <w:r>
        <w:t>Zukunft  für</w:t>
      </w:r>
      <w:proofErr w:type="gramEnd"/>
      <w:r>
        <w:t xml:space="preserve"> alle fruchtigen Aufstriche, die den gesetzlichen Anforderungen entsprechen, verwendet werden. Für Konfitüren aus Zitrusfrüchten gilt dann der Begriff „</w:t>
      </w:r>
      <w:proofErr w:type="spellStart"/>
      <w:r>
        <w:t>Zitrusmarmelade</w:t>
      </w:r>
      <w:proofErr w:type="spellEnd"/>
      <w:r>
        <w:t xml:space="preserve">“. </w:t>
      </w:r>
    </w:p>
    <w:p w14:paraId="20E77EC3" w14:textId="77777777" w:rsidR="00D56E61" w:rsidRDefault="000044CD">
      <w:r>
        <w:t xml:space="preserve">Darüber hinaus müssen bei Mischungen – ähnlich wie beim Honig – die Ursprungsländer, aus denen die verwendeten Früchte stammen, im Hauptsichtfeld des Etiketts angegeben werden, und zwar in absteigender Reihenfolge ihres Gewichtsanteils. </w:t>
      </w:r>
      <w:proofErr w:type="spellStart"/>
      <w:r>
        <w:rPr>
          <w:b/>
        </w:rPr>
        <w:t>mib</w:t>
      </w:r>
      <w:proofErr w:type="spellEnd"/>
    </w:p>
    <w:p w14:paraId="6BF6B7A2" w14:textId="77777777" w:rsidR="00D56E61" w:rsidRDefault="000044CD">
      <w:pPr>
        <w:pStyle w:val="berschrift1"/>
      </w:pPr>
      <w:bookmarkStart w:id="42" w:name="_Toc227740079"/>
      <w:r>
        <w:t>Was jetzt auf den Grill gehört</w:t>
      </w:r>
      <w:bookmarkEnd w:id="42"/>
    </w:p>
    <w:p w14:paraId="72EFB5EA" w14:textId="77777777" w:rsidR="00D56E61" w:rsidRDefault="000044CD">
      <w:pPr>
        <w:pStyle w:val="Standard-Fett"/>
      </w:pPr>
      <w:r>
        <w:t>Gemüse als Hauptdarsteller – Bühne frei für feine Aromen</w:t>
      </w:r>
    </w:p>
    <w:p w14:paraId="7122B9C8" w14:textId="77777777" w:rsidR="00D56E61" w:rsidRDefault="000044CD">
      <w:pPr>
        <w:pStyle w:val="Vorspann"/>
      </w:pPr>
      <w:r>
        <w:lastRenderedPageBreak/>
        <w:t>Fleischlose Küche hat sich längst etabliert und hat nichts mehr mit Verzicht zu tun. Seit einigen Jahren machen Gourmet-Köchinnen und -köche vor, wie Gemüse auf dem heißen Grill von der Beilage zum Hauptgericht avanciert.</w:t>
      </w:r>
    </w:p>
    <w:p w14:paraId="5C3E1D86" w14:textId="77777777" w:rsidR="00D56E61" w:rsidRDefault="000044CD">
      <w:r>
        <w:t xml:space="preserve">Bei den Grilltrends der vergangenen Jahre fällt auf, dass Gemüse inzwischen fast wie Fleisch behandelt wird. So sind ganze Blumenkohlköpfe sowie Selleriescheiben die Helden anstatt Steaks. Kennerinnen und Kenner setzen auf Rauchgeschmack und echte Röstaromen, die sie geschmacklich von beliebigen Fleischersatzprodukten abheben. </w:t>
      </w:r>
    </w:p>
    <w:p w14:paraId="55FF7EDC" w14:textId="77777777" w:rsidR="00D56E61" w:rsidRDefault="000044CD">
      <w:r>
        <w:t xml:space="preserve">In den meisten vegetarischen Grillkochbüchern stehen regionale und saisonale Produkte hoch im Kurs. Im Frühling kommen Spargel, junger Lauch, Fenchel, Zucchini und Pak Choi über die Glut – wobei zartes Gemüse stets nur kurz gegrillt wird. An heißen Sommerabenden begeistern Auberginen, Kirschtomaten, Paprikaschoten und rote Zwiebeln. Die Auswahl an Sorten ist in der warmen Jahreszeit groß, und das Gemüse ist besonders reich an Aromen. Im Herbst können karamellisiertes Wurzelgemüse, Pilze sowie Kürbis die Geschmacksknospen explodieren lassen. </w:t>
      </w:r>
    </w:p>
    <w:p w14:paraId="45B2AE50" w14:textId="77777777" w:rsidR="00D56E61" w:rsidRDefault="000044CD">
      <w:r>
        <w:t>Entscheidend ist stets eine passende Marinade. Neben Klassikern wie Öl und Kräutern verfeinern orientalische Gewürze, asiatische Einflüsse wie Kombinationen aus süß-sauer-scharf sowie Zesten verschiedener Zitrusfrüchte das Gemüse. Zum vegetarischen Grillgut passen (Grill-) Käse, Fisch, Salate und Speisen mit Hülsenfrüchten sowie Brot.</w:t>
      </w:r>
    </w:p>
    <w:p w14:paraId="72D61E95" w14:textId="77777777" w:rsidR="00D56E61" w:rsidRDefault="000044CD">
      <w:pPr>
        <w:pStyle w:val="Zwischentitel"/>
      </w:pPr>
      <w:r>
        <w:t>Grill-Ananas zum Dessert</w:t>
      </w:r>
    </w:p>
    <w:p w14:paraId="1B602D12" w14:textId="77777777" w:rsidR="00D56E61" w:rsidRDefault="000044CD">
      <w:r>
        <w:t xml:space="preserve">Einige Kochbücher stellen Grillmenüs zusammen. Wenig bekannt und deswegen ideal, um Gäste zu überraschen: Nachspeisen vom Rost. Mit gegrillten Pfirsichen lässt sich ein tolles Sommerdessert zaubern: ein Löffel Honig, ein Klecks Joghurt, der mit gemahlener Tonkabohne gewürzt wurde, das Ganze noch garniert mit gerösteten Haselnüssen – sehr international. Beliebt sind auch geröstete Melonenscheiben mit Feta und Minze. Exotischer wird es mit Ananas – in Ecken oder Scheiben geschnitten. </w:t>
      </w:r>
    </w:p>
    <w:p w14:paraId="53ADD797" w14:textId="77777777" w:rsidR="00D56E61" w:rsidRDefault="000044CD">
      <w:r>
        <w:t xml:space="preserve">Wer in die Grillkunst mit Gemüse einsteigen möchte, kann in Bücher dieser Autoren hineinschnuppern: Tom </w:t>
      </w:r>
      <w:proofErr w:type="spellStart"/>
      <w:r>
        <w:t>Heinzle</w:t>
      </w:r>
      <w:proofErr w:type="spellEnd"/>
      <w:r>
        <w:t xml:space="preserve"> („Vegetarisch Grillen – Gemüse rockt!“), Oliver Sievers („Einfach genial grillen – Vegetarisch“) sowie Torsten Mertz („Sehr gut vegetarisch grillen“). Die Autorin Frauke Knüttel-Evers („Vegetarisch Grillen“) weckt mit 60 Rezepten ebenfalls die Freude am Zubereiten vegetarischer Gerichte vom Rost.</w:t>
      </w:r>
    </w:p>
    <w:p w14:paraId="4F34A3B5" w14:textId="77777777" w:rsidR="00D56E61" w:rsidRDefault="000044CD">
      <w:r>
        <w:t xml:space="preserve"> </w:t>
      </w:r>
      <w:r>
        <w:rPr>
          <w:b/>
        </w:rPr>
        <w:t xml:space="preserve">Elisabeth Antritter </w:t>
      </w:r>
    </w:p>
    <w:p w14:paraId="31792727" w14:textId="77777777" w:rsidR="00D56E61" w:rsidRDefault="000044CD">
      <w:pPr>
        <w:pStyle w:val="berschrift1"/>
      </w:pPr>
      <w:bookmarkStart w:id="43" w:name="_Toc227740080"/>
      <w:r>
        <w:t>Zweimal im Hochsprung-Olymp</w:t>
      </w:r>
      <w:bookmarkEnd w:id="43"/>
    </w:p>
    <w:p w14:paraId="0FDFD930" w14:textId="77777777" w:rsidR="00D56E61" w:rsidRDefault="000044CD">
      <w:pPr>
        <w:pStyle w:val="Standard-Fett"/>
      </w:pPr>
      <w:r>
        <w:t>Ulrike Nasse-</w:t>
      </w:r>
      <w:proofErr w:type="spellStart"/>
      <w:r>
        <w:t>Meyfarth</w:t>
      </w:r>
      <w:proofErr w:type="spellEnd"/>
      <w:r>
        <w:t xml:space="preserve"> wird 70 Jahre alt</w:t>
      </w:r>
    </w:p>
    <w:p w14:paraId="199BCDFF" w14:textId="77777777" w:rsidR="00D56E61" w:rsidRDefault="000044CD">
      <w:pPr>
        <w:pStyle w:val="Vorspann"/>
      </w:pPr>
      <w:r>
        <w:lastRenderedPageBreak/>
        <w:t>Im Alter von 16 Jahren springt sie sich bei den Olympischen Spielen 1972 in die Herzen des Münchner Publikums und gewinnt Gold. Zwölf Jahre später wird Ulrike Nasse-</w:t>
      </w:r>
      <w:proofErr w:type="spellStart"/>
      <w:r>
        <w:t>Meyfarth</w:t>
      </w:r>
      <w:proofErr w:type="spellEnd"/>
      <w:r>
        <w:t xml:space="preserve"> noch mal Hochsprung-Olympiasiegerin. Am 4. Mai feiert die ehemalige Leichtathletin ihren 70. Geburtstag.</w:t>
      </w:r>
    </w:p>
    <w:p w14:paraId="093A7506" w14:textId="77777777" w:rsidR="00D56E61" w:rsidRDefault="000044CD">
      <w:r>
        <w:t xml:space="preserve">Absolute Stille herrscht an diesem 4. September 1972 im voll besetzten Münchner Olympiastadion, als die 16-jährige Schülerin Ulrike </w:t>
      </w:r>
      <w:proofErr w:type="spellStart"/>
      <w:r>
        <w:t>Meyfarth</w:t>
      </w:r>
      <w:proofErr w:type="spellEnd"/>
      <w:r>
        <w:t xml:space="preserve"> anläuft, um über die 1,92 Meter hoch liegende Latte zu springen. Mit einem perfekten Fosbury-Flop meistert sie die damalige Weltrekordhöhe. Riesiger Jubel bricht aus. Sie wird zum Publikumsliebling und ist bis heute einer der bekanntesten deutschen Leichtathletik-Stars.</w:t>
      </w:r>
    </w:p>
    <w:p w14:paraId="22A8224D" w14:textId="77777777" w:rsidR="00D56E61" w:rsidRDefault="000044CD">
      <w:r>
        <w:t xml:space="preserve">Mit 13 Jahren begann die in Frankfurt am Main geborene </w:t>
      </w:r>
      <w:proofErr w:type="spellStart"/>
      <w:r>
        <w:t>Meyfarth</w:t>
      </w:r>
      <w:proofErr w:type="spellEnd"/>
      <w:r>
        <w:t xml:space="preserve"> mit Hochsprung. Bei der LG Rhein-</w:t>
      </w:r>
      <w:proofErr w:type="spellStart"/>
      <w:r>
        <w:t>Ville</w:t>
      </w:r>
      <w:proofErr w:type="spellEnd"/>
      <w:r>
        <w:t xml:space="preserve"> lernt sie von Anfang an die neue Hochsprung-Technik, mit der Dick </w:t>
      </w:r>
      <w:proofErr w:type="spellStart"/>
      <w:r>
        <w:t>Fosbury</w:t>
      </w:r>
      <w:proofErr w:type="spellEnd"/>
      <w:r>
        <w:t xml:space="preserve"> kurz zuvor in Mexiko-Stadt Olympiasieger wurde. Die groß gewachsene Schülerin schafft es in wenigen Jahren an die deutsche Spitze und wird für die Spiele in München nominiert.</w:t>
      </w:r>
    </w:p>
    <w:p w14:paraId="2738A384" w14:textId="77777777" w:rsidR="00D56E61" w:rsidRDefault="000044CD">
      <w:r>
        <w:t xml:space="preserve">Ihr Goldsprung kommt dennoch überraschend und macht </w:t>
      </w:r>
      <w:proofErr w:type="spellStart"/>
      <w:r>
        <w:t>Meyfarth</w:t>
      </w:r>
      <w:proofErr w:type="spellEnd"/>
      <w:r>
        <w:t xml:space="preserve"> in der Folge zu schaffen. Sie kann in den Jahren danach nicht an diesen Erfolg anknüpfen, bleibt ihrem Sport aber trotzdem treu und kämpft sich mit Geduld wieder an die internationale Spitze. 1982 wird sie Europameisterin und 1983 Vizeweltmeisterin. Im selben Jahr springt sie mit 2,03 Metern Weltrekord. Im Sommer 1984 gelingt ihr ein einmaliges Kunststück: Bei den Spielen in Los Angeles holt sie zum zweiten Mal Olympisches Gold. Sie tritt noch bei mehreren Leichtathletik-Meetings an und beendet Ende 1984 ihre aktive Sportkarriere.</w:t>
      </w:r>
    </w:p>
    <w:p w14:paraId="42E5B3A1" w14:textId="77777777" w:rsidR="00D56E61" w:rsidRDefault="000044CD">
      <w:r>
        <w:t>In den Jahren danach vermarktet sie ihre Erfolge mit Werbung und Büchern. 1987 heiratet sie den Rechtsanwalt Roland-Frank Nasse. 1988 und 1993 bekommen sie jeweils eine Tochter. Später wird Ulrike Nasse-</w:t>
      </w:r>
      <w:proofErr w:type="spellStart"/>
      <w:r>
        <w:t>Meyfarth</w:t>
      </w:r>
      <w:proofErr w:type="spellEnd"/>
      <w:r>
        <w:t xml:space="preserve"> in ihrem Verein TSV Bayer 04 Leverkusen Leichtathletik-Jugendtrainerin. Sie setzt sich gegen Doping ein und engagiert sich für krebskranke Kinder.   </w:t>
      </w:r>
      <w:r w:rsidRPr="00E3794A">
        <w:rPr>
          <w:b/>
          <w:bCs/>
        </w:rPr>
        <w:t>hei</w:t>
      </w:r>
    </w:p>
    <w:sectPr w:rsidR="00D56E61">
      <w:head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C577E" w14:textId="77777777" w:rsidR="00F94694" w:rsidRDefault="00F94694" w:rsidP="00F94694">
      <w:pPr>
        <w:spacing w:after="0" w:line="240" w:lineRule="auto"/>
      </w:pPr>
      <w:r>
        <w:separator/>
      </w:r>
    </w:p>
  </w:endnote>
  <w:endnote w:type="continuationSeparator" w:id="0">
    <w:p w14:paraId="79133863" w14:textId="77777777"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8F591" w14:textId="77777777" w:rsidR="00F94694" w:rsidRDefault="00F94694" w:rsidP="00F94694">
      <w:pPr>
        <w:spacing w:after="0" w:line="240" w:lineRule="auto"/>
      </w:pPr>
      <w:r>
        <w:separator/>
      </w:r>
    </w:p>
  </w:footnote>
  <w:footnote w:type="continuationSeparator" w:id="0">
    <w:p w14:paraId="057EAAFF" w14:textId="77777777"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98D92" w14:textId="77777777" w:rsidR="00FC7E92" w:rsidRDefault="00E3794A"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rsidR="000044CD">
          <w:t>VdK-Zeitung Gesamt Mai-2026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14:paraId="2718EC3D" w14:textId="77777777"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44CD"/>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56E61"/>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3794A"/>
    <w:rsid w:val="00E46839"/>
    <w:rsid w:val="00E46AE5"/>
    <w:rsid w:val="00E4777B"/>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5D37C0"/>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 w:type="character" w:styleId="NichtaufgelsteErwhnung">
    <w:name w:val="Unresolved Mention"/>
    <w:basedOn w:val="Absatz-Standardschriftart"/>
    <w:uiPriority w:val="99"/>
    <w:semiHidden/>
    <w:unhideWhenUsed/>
    <w:rsid w:val="00E47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usentaste.de" TargetMode="External"/><Relationship Id="rId13" Type="http://schemas.openxmlformats.org/officeDocument/2006/relationships/hyperlink" Target="http://www.bund.net/Schmetterl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ncalli.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ngcontest.orf.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urovision.de" TargetMode="External"/><Relationship Id="rId4" Type="http://schemas.openxmlformats.org/officeDocument/2006/relationships/settings" Target="settings.xml"/><Relationship Id="rId9" Type="http://schemas.openxmlformats.org/officeDocument/2006/relationships/hyperlink" Target="https://allergietag-online.de"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1E76EB"/>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5306C-CF29-4A3B-AF34-707FA2AF2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16796</Words>
  <Characters>111293</Characters>
  <Application>Microsoft Office Word</Application>
  <DocSecurity>0</DocSecurity>
  <Lines>927</Lines>
  <Paragraphs>255</Paragraphs>
  <ScaleCrop>false</ScaleCrop>
  <HeadingPairs>
    <vt:vector size="2" baseType="variant">
      <vt:variant>
        <vt:lpstr>Titel</vt:lpstr>
      </vt:variant>
      <vt:variant>
        <vt:i4>1</vt:i4>
      </vt:variant>
    </vt:vector>
  </HeadingPairs>
  <TitlesOfParts>
    <vt:vector size="1" baseType="lpstr">
      <vt:lpstr>VdK-Zeitung Gesamt Mai-2026</vt:lpstr>
    </vt:vector>
  </TitlesOfParts>
  <Company/>
  <LinksUpToDate>false</LinksUpToDate>
  <CharactersWithSpaces>127834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Mai-2026</dc:title>
  <dc:subject/>
  <dc:creator>Sozialverband VdK Deutschland e. V.</dc:creator>
  <cp:keywords/>
  <dc:description/>
  <cp:lastModifiedBy>Christina Liebeck</cp:lastModifiedBy>
  <cp:revision>31</cp:revision>
  <dcterms:created xsi:type="dcterms:W3CDTF">2023-11-21T14:29:00Z</dcterms:created>
  <dcterms:modified xsi:type="dcterms:W3CDTF">2026-04-29T07:06:00Z</dcterms:modified>
</cp:coreProperties>
</file>