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A7D2B" w14:textId="77777777" w:rsidR="00466FC3" w:rsidRDefault="00466FC3">
      <w:pPr>
        <w:pStyle w:val="Inhaltsverzeichnisberschrift"/>
        <w:rPr>
          <w:rFonts w:asciiTheme="majorHAnsi" w:eastAsia="Times New Roman" w:hAnsiTheme="majorHAnsi"/>
          <w:bCs w:val="0"/>
          <w:color w:val="auto"/>
          <w:sz w:val="22"/>
          <w:szCs w:val="22"/>
          <w:lang w:eastAsia="en-US"/>
        </w:rPr>
      </w:pPr>
      <w:r>
        <w:rPr>
          <w:rFonts w:asciiTheme="majorHAnsi" w:eastAsia="Times New Roman" w:hAnsiTheme="majorHAnsi"/>
          <w:b/>
          <w:bCs w:val="0"/>
          <w:color w:val="auto"/>
          <w:sz w:val="22"/>
          <w:szCs w:val="22"/>
          <w:lang w:eastAsia="en-US"/>
        </w:rPr>
        <w:t>Screenreader-</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14:paraId="3B509DE8" w14:textId="77777777" w:rsidR="00D3742D" w:rsidRDefault="00D3742D">
          <w:pPr>
            <w:pStyle w:val="Inhaltsverzeichnisberschrift"/>
          </w:pPr>
          <w:r>
            <w:t>Inhaltsverzeichnis</w:t>
          </w:r>
        </w:p>
        <w:p w14:paraId="1EC6AB78" w14:textId="77777777" w:rsidR="00EE25F7"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hyperlink w:anchor="_Toc226531860" w:history="1">
            <w:r w:rsidR="00EE25F7" w:rsidRPr="005B277D">
              <w:rPr>
                <w:rStyle w:val="Hyperlink"/>
                <w:noProof/>
              </w:rPr>
              <w:t>20 Millionen Stimmen für den Sozialstaat</w:t>
            </w:r>
            <w:r w:rsidR="00EE25F7">
              <w:rPr>
                <w:noProof/>
                <w:webHidden/>
              </w:rPr>
              <w:tab/>
            </w:r>
            <w:r w:rsidR="00EE25F7">
              <w:rPr>
                <w:noProof/>
                <w:webHidden/>
              </w:rPr>
              <w:fldChar w:fldCharType="begin"/>
            </w:r>
            <w:r w:rsidR="00EE25F7">
              <w:rPr>
                <w:noProof/>
                <w:webHidden/>
              </w:rPr>
              <w:instrText xml:space="preserve"> PAGEREF _Toc226531860 \h </w:instrText>
            </w:r>
            <w:r w:rsidR="00EE25F7">
              <w:rPr>
                <w:noProof/>
                <w:webHidden/>
              </w:rPr>
            </w:r>
            <w:r w:rsidR="00EE25F7">
              <w:rPr>
                <w:noProof/>
                <w:webHidden/>
              </w:rPr>
              <w:fldChar w:fldCharType="separate"/>
            </w:r>
            <w:r w:rsidR="00EE25F7">
              <w:rPr>
                <w:noProof/>
                <w:webHidden/>
              </w:rPr>
              <w:t>2</w:t>
            </w:r>
            <w:r w:rsidR="00EE25F7">
              <w:rPr>
                <w:noProof/>
                <w:webHidden/>
              </w:rPr>
              <w:fldChar w:fldCharType="end"/>
            </w:r>
          </w:hyperlink>
        </w:p>
        <w:p w14:paraId="46ACDA6F"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1" w:history="1">
            <w:r w:rsidRPr="005B277D">
              <w:rPr>
                <w:rStyle w:val="Hyperlink"/>
                <w:noProof/>
              </w:rPr>
              <w:t>Rentenerhöhung nur eine Maßnahme unter vielen</w:t>
            </w:r>
            <w:r>
              <w:rPr>
                <w:noProof/>
                <w:webHidden/>
              </w:rPr>
              <w:tab/>
            </w:r>
            <w:r>
              <w:rPr>
                <w:noProof/>
                <w:webHidden/>
              </w:rPr>
              <w:fldChar w:fldCharType="begin"/>
            </w:r>
            <w:r>
              <w:rPr>
                <w:noProof/>
                <w:webHidden/>
              </w:rPr>
              <w:instrText xml:space="preserve"> PAGEREF _Toc226531861 \h </w:instrText>
            </w:r>
            <w:r>
              <w:rPr>
                <w:noProof/>
                <w:webHidden/>
              </w:rPr>
            </w:r>
            <w:r>
              <w:rPr>
                <w:noProof/>
                <w:webHidden/>
              </w:rPr>
              <w:fldChar w:fldCharType="separate"/>
            </w:r>
            <w:r>
              <w:rPr>
                <w:noProof/>
                <w:webHidden/>
              </w:rPr>
              <w:t>3</w:t>
            </w:r>
            <w:r>
              <w:rPr>
                <w:noProof/>
                <w:webHidden/>
              </w:rPr>
              <w:fldChar w:fldCharType="end"/>
            </w:r>
          </w:hyperlink>
        </w:p>
        <w:p w14:paraId="7044A4DF"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2" w:history="1">
            <w:r w:rsidRPr="005B277D">
              <w:rPr>
                <w:rStyle w:val="Hyperlink"/>
                <w:noProof/>
              </w:rPr>
              <w:t>So hilft der VdK</w:t>
            </w:r>
            <w:r>
              <w:rPr>
                <w:noProof/>
                <w:webHidden/>
              </w:rPr>
              <w:tab/>
            </w:r>
            <w:r>
              <w:rPr>
                <w:noProof/>
                <w:webHidden/>
              </w:rPr>
              <w:fldChar w:fldCharType="begin"/>
            </w:r>
            <w:r>
              <w:rPr>
                <w:noProof/>
                <w:webHidden/>
              </w:rPr>
              <w:instrText xml:space="preserve"> PAGEREF _Toc226531862 \h </w:instrText>
            </w:r>
            <w:r>
              <w:rPr>
                <w:noProof/>
                <w:webHidden/>
              </w:rPr>
            </w:r>
            <w:r>
              <w:rPr>
                <w:noProof/>
                <w:webHidden/>
              </w:rPr>
              <w:fldChar w:fldCharType="separate"/>
            </w:r>
            <w:r>
              <w:rPr>
                <w:noProof/>
                <w:webHidden/>
              </w:rPr>
              <w:t>4</w:t>
            </w:r>
            <w:r>
              <w:rPr>
                <w:noProof/>
                <w:webHidden/>
              </w:rPr>
              <w:fldChar w:fldCharType="end"/>
            </w:r>
          </w:hyperlink>
        </w:p>
        <w:p w14:paraId="1475E2F8"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3" w:history="1">
            <w:r w:rsidRPr="005B277D">
              <w:rPr>
                <w:rStyle w:val="Hyperlink"/>
                <w:noProof/>
              </w:rPr>
              <w:t>Rentenpolitik beginnt auf dem Arbeitsmarkt</w:t>
            </w:r>
            <w:r>
              <w:rPr>
                <w:noProof/>
                <w:webHidden/>
              </w:rPr>
              <w:tab/>
            </w:r>
            <w:r>
              <w:rPr>
                <w:noProof/>
                <w:webHidden/>
              </w:rPr>
              <w:fldChar w:fldCharType="begin"/>
            </w:r>
            <w:r>
              <w:rPr>
                <w:noProof/>
                <w:webHidden/>
              </w:rPr>
              <w:instrText xml:space="preserve"> PAGEREF _Toc226531863 \h </w:instrText>
            </w:r>
            <w:r>
              <w:rPr>
                <w:noProof/>
                <w:webHidden/>
              </w:rPr>
            </w:r>
            <w:r>
              <w:rPr>
                <w:noProof/>
                <w:webHidden/>
              </w:rPr>
              <w:fldChar w:fldCharType="separate"/>
            </w:r>
            <w:r>
              <w:rPr>
                <w:noProof/>
                <w:webHidden/>
              </w:rPr>
              <w:t>4</w:t>
            </w:r>
            <w:r>
              <w:rPr>
                <w:noProof/>
                <w:webHidden/>
              </w:rPr>
              <w:fldChar w:fldCharType="end"/>
            </w:r>
          </w:hyperlink>
        </w:p>
        <w:p w14:paraId="09910390"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4" w:history="1">
            <w:r w:rsidRPr="005B277D">
              <w:rPr>
                <w:rStyle w:val="Hyperlink"/>
                <w:noProof/>
              </w:rPr>
              <w:t>Mangelhafte Absicherung für Landwirtinnen</w:t>
            </w:r>
            <w:r>
              <w:rPr>
                <w:noProof/>
                <w:webHidden/>
              </w:rPr>
              <w:tab/>
            </w:r>
            <w:r>
              <w:rPr>
                <w:noProof/>
                <w:webHidden/>
              </w:rPr>
              <w:fldChar w:fldCharType="begin"/>
            </w:r>
            <w:r>
              <w:rPr>
                <w:noProof/>
                <w:webHidden/>
              </w:rPr>
              <w:instrText xml:space="preserve"> PAGEREF _Toc226531864 \h </w:instrText>
            </w:r>
            <w:r>
              <w:rPr>
                <w:noProof/>
                <w:webHidden/>
              </w:rPr>
            </w:r>
            <w:r>
              <w:rPr>
                <w:noProof/>
                <w:webHidden/>
              </w:rPr>
              <w:fldChar w:fldCharType="separate"/>
            </w:r>
            <w:r>
              <w:rPr>
                <w:noProof/>
                <w:webHidden/>
              </w:rPr>
              <w:t>6</w:t>
            </w:r>
            <w:r>
              <w:rPr>
                <w:noProof/>
                <w:webHidden/>
              </w:rPr>
              <w:fldChar w:fldCharType="end"/>
            </w:r>
          </w:hyperlink>
        </w:p>
        <w:p w14:paraId="1B425905"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5" w:history="1">
            <w:r w:rsidRPr="005B277D">
              <w:rPr>
                <w:rStyle w:val="Hyperlink"/>
                <w:noProof/>
              </w:rPr>
              <w:t>Reform verfehlt Ziele</w:t>
            </w:r>
            <w:r>
              <w:rPr>
                <w:noProof/>
                <w:webHidden/>
              </w:rPr>
              <w:tab/>
            </w:r>
            <w:r>
              <w:rPr>
                <w:noProof/>
                <w:webHidden/>
              </w:rPr>
              <w:fldChar w:fldCharType="begin"/>
            </w:r>
            <w:r>
              <w:rPr>
                <w:noProof/>
                <w:webHidden/>
              </w:rPr>
              <w:instrText xml:space="preserve"> PAGEREF _Toc226531865 \h </w:instrText>
            </w:r>
            <w:r>
              <w:rPr>
                <w:noProof/>
                <w:webHidden/>
              </w:rPr>
            </w:r>
            <w:r>
              <w:rPr>
                <w:noProof/>
                <w:webHidden/>
              </w:rPr>
              <w:fldChar w:fldCharType="separate"/>
            </w:r>
            <w:r>
              <w:rPr>
                <w:noProof/>
                <w:webHidden/>
              </w:rPr>
              <w:t>7</w:t>
            </w:r>
            <w:r>
              <w:rPr>
                <w:noProof/>
                <w:webHidden/>
              </w:rPr>
              <w:fldChar w:fldCharType="end"/>
            </w:r>
          </w:hyperlink>
        </w:p>
        <w:p w14:paraId="5B5DE703"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6" w:history="1">
            <w:r w:rsidRPr="005B277D">
              <w:rPr>
                <w:rStyle w:val="Hyperlink"/>
                <w:noProof/>
              </w:rPr>
              <w:t>Getrennte Kassen</w:t>
            </w:r>
            <w:r>
              <w:rPr>
                <w:noProof/>
                <w:webHidden/>
              </w:rPr>
              <w:tab/>
            </w:r>
            <w:r>
              <w:rPr>
                <w:noProof/>
                <w:webHidden/>
              </w:rPr>
              <w:fldChar w:fldCharType="begin"/>
            </w:r>
            <w:r>
              <w:rPr>
                <w:noProof/>
                <w:webHidden/>
              </w:rPr>
              <w:instrText xml:space="preserve"> PAGEREF _Toc226531866 \h </w:instrText>
            </w:r>
            <w:r>
              <w:rPr>
                <w:noProof/>
                <w:webHidden/>
              </w:rPr>
            </w:r>
            <w:r>
              <w:rPr>
                <w:noProof/>
                <w:webHidden/>
              </w:rPr>
              <w:fldChar w:fldCharType="separate"/>
            </w:r>
            <w:r>
              <w:rPr>
                <w:noProof/>
                <w:webHidden/>
              </w:rPr>
              <w:t>8</w:t>
            </w:r>
            <w:r>
              <w:rPr>
                <w:noProof/>
                <w:webHidden/>
              </w:rPr>
              <w:fldChar w:fldCharType="end"/>
            </w:r>
          </w:hyperlink>
        </w:p>
        <w:p w14:paraId="3C7441E5"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7" w:history="1">
            <w:r w:rsidRPr="005B277D">
              <w:rPr>
                <w:rStyle w:val="Hyperlink"/>
                <w:noProof/>
              </w:rPr>
              <w:t>Mit viel Herz, Respekt und Tränen der Freude</w:t>
            </w:r>
            <w:r>
              <w:rPr>
                <w:noProof/>
                <w:webHidden/>
              </w:rPr>
              <w:tab/>
            </w:r>
            <w:r>
              <w:rPr>
                <w:noProof/>
                <w:webHidden/>
              </w:rPr>
              <w:fldChar w:fldCharType="begin"/>
            </w:r>
            <w:r>
              <w:rPr>
                <w:noProof/>
                <w:webHidden/>
              </w:rPr>
              <w:instrText xml:space="preserve"> PAGEREF _Toc226531867 \h </w:instrText>
            </w:r>
            <w:r>
              <w:rPr>
                <w:noProof/>
                <w:webHidden/>
              </w:rPr>
            </w:r>
            <w:r>
              <w:rPr>
                <w:noProof/>
                <w:webHidden/>
              </w:rPr>
              <w:fldChar w:fldCharType="separate"/>
            </w:r>
            <w:r>
              <w:rPr>
                <w:noProof/>
                <w:webHidden/>
              </w:rPr>
              <w:t>8</w:t>
            </w:r>
            <w:r>
              <w:rPr>
                <w:noProof/>
                <w:webHidden/>
              </w:rPr>
              <w:fldChar w:fldCharType="end"/>
            </w:r>
          </w:hyperlink>
        </w:p>
        <w:p w14:paraId="5310C5EE"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8" w:history="1">
            <w:r w:rsidRPr="005B277D">
              <w:rPr>
                <w:rStyle w:val="Hyperlink"/>
                <w:noProof/>
              </w:rPr>
              <w:t>Nachhaltig heizen, dauerhaft sparen</w:t>
            </w:r>
            <w:r>
              <w:rPr>
                <w:noProof/>
                <w:webHidden/>
              </w:rPr>
              <w:tab/>
            </w:r>
            <w:r>
              <w:rPr>
                <w:noProof/>
                <w:webHidden/>
              </w:rPr>
              <w:fldChar w:fldCharType="begin"/>
            </w:r>
            <w:r>
              <w:rPr>
                <w:noProof/>
                <w:webHidden/>
              </w:rPr>
              <w:instrText xml:space="preserve"> PAGEREF _Toc226531868 \h </w:instrText>
            </w:r>
            <w:r>
              <w:rPr>
                <w:noProof/>
                <w:webHidden/>
              </w:rPr>
            </w:r>
            <w:r>
              <w:rPr>
                <w:noProof/>
                <w:webHidden/>
              </w:rPr>
              <w:fldChar w:fldCharType="separate"/>
            </w:r>
            <w:r>
              <w:rPr>
                <w:noProof/>
                <w:webHidden/>
              </w:rPr>
              <w:t>11</w:t>
            </w:r>
            <w:r>
              <w:rPr>
                <w:noProof/>
                <w:webHidden/>
              </w:rPr>
              <w:fldChar w:fldCharType="end"/>
            </w:r>
          </w:hyperlink>
        </w:p>
        <w:p w14:paraId="45863033"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69" w:history="1">
            <w:r w:rsidRPr="005B277D">
              <w:rPr>
                <w:rStyle w:val="Hyperlink"/>
                <w:noProof/>
              </w:rPr>
              <w:t>Echte Reform statt höherer Mehrwertsteuer</w:t>
            </w:r>
            <w:r>
              <w:rPr>
                <w:noProof/>
                <w:webHidden/>
              </w:rPr>
              <w:tab/>
            </w:r>
            <w:r>
              <w:rPr>
                <w:noProof/>
                <w:webHidden/>
              </w:rPr>
              <w:fldChar w:fldCharType="begin"/>
            </w:r>
            <w:r>
              <w:rPr>
                <w:noProof/>
                <w:webHidden/>
              </w:rPr>
              <w:instrText xml:space="preserve"> PAGEREF _Toc226531869 \h </w:instrText>
            </w:r>
            <w:r>
              <w:rPr>
                <w:noProof/>
                <w:webHidden/>
              </w:rPr>
            </w:r>
            <w:r>
              <w:rPr>
                <w:noProof/>
                <w:webHidden/>
              </w:rPr>
              <w:fldChar w:fldCharType="separate"/>
            </w:r>
            <w:r>
              <w:rPr>
                <w:noProof/>
                <w:webHidden/>
              </w:rPr>
              <w:t>13</w:t>
            </w:r>
            <w:r>
              <w:rPr>
                <w:noProof/>
                <w:webHidden/>
              </w:rPr>
              <w:fldChar w:fldCharType="end"/>
            </w:r>
          </w:hyperlink>
        </w:p>
        <w:p w14:paraId="47F3EE37"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0" w:history="1">
            <w:r w:rsidRPr="005B277D">
              <w:rPr>
                <w:rStyle w:val="Hyperlink"/>
                <w:noProof/>
              </w:rPr>
              <w:t>175 000 Vollzeitstellen</w:t>
            </w:r>
            <w:r>
              <w:rPr>
                <w:noProof/>
                <w:webHidden/>
              </w:rPr>
              <w:tab/>
            </w:r>
            <w:r>
              <w:rPr>
                <w:noProof/>
                <w:webHidden/>
              </w:rPr>
              <w:fldChar w:fldCharType="begin"/>
            </w:r>
            <w:r>
              <w:rPr>
                <w:noProof/>
                <w:webHidden/>
              </w:rPr>
              <w:instrText xml:space="preserve"> PAGEREF _Toc226531870 \h </w:instrText>
            </w:r>
            <w:r>
              <w:rPr>
                <w:noProof/>
                <w:webHidden/>
              </w:rPr>
            </w:r>
            <w:r>
              <w:rPr>
                <w:noProof/>
                <w:webHidden/>
              </w:rPr>
              <w:fldChar w:fldCharType="separate"/>
            </w:r>
            <w:r>
              <w:rPr>
                <w:noProof/>
                <w:webHidden/>
              </w:rPr>
              <w:t>14</w:t>
            </w:r>
            <w:r>
              <w:rPr>
                <w:noProof/>
                <w:webHidden/>
              </w:rPr>
              <w:fldChar w:fldCharType="end"/>
            </w:r>
          </w:hyperlink>
        </w:p>
        <w:p w14:paraId="74069E13"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1" w:history="1">
            <w:r w:rsidRPr="005B277D">
              <w:rPr>
                <w:rStyle w:val="Hyperlink"/>
                <w:noProof/>
              </w:rPr>
              <w:t>Landesamt muss Schwerbehinderung anerkennen</w:t>
            </w:r>
            <w:r>
              <w:rPr>
                <w:noProof/>
                <w:webHidden/>
              </w:rPr>
              <w:tab/>
            </w:r>
            <w:r>
              <w:rPr>
                <w:noProof/>
                <w:webHidden/>
              </w:rPr>
              <w:fldChar w:fldCharType="begin"/>
            </w:r>
            <w:r>
              <w:rPr>
                <w:noProof/>
                <w:webHidden/>
              </w:rPr>
              <w:instrText xml:space="preserve"> PAGEREF _Toc226531871 \h </w:instrText>
            </w:r>
            <w:r>
              <w:rPr>
                <w:noProof/>
                <w:webHidden/>
              </w:rPr>
            </w:r>
            <w:r>
              <w:rPr>
                <w:noProof/>
                <w:webHidden/>
              </w:rPr>
              <w:fldChar w:fldCharType="separate"/>
            </w:r>
            <w:r>
              <w:rPr>
                <w:noProof/>
                <w:webHidden/>
              </w:rPr>
              <w:t>15</w:t>
            </w:r>
            <w:r>
              <w:rPr>
                <w:noProof/>
                <w:webHidden/>
              </w:rPr>
              <w:fldChar w:fldCharType="end"/>
            </w:r>
          </w:hyperlink>
        </w:p>
        <w:p w14:paraId="3CEB46E6"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2" w:history="1">
            <w:r w:rsidRPr="005B277D">
              <w:rPr>
                <w:rStyle w:val="Hyperlink"/>
                <w:noProof/>
              </w:rPr>
              <w:t>Kasse muss 550 Euro Fahrtkosten erstatten</w:t>
            </w:r>
            <w:r>
              <w:rPr>
                <w:noProof/>
                <w:webHidden/>
              </w:rPr>
              <w:tab/>
            </w:r>
            <w:r>
              <w:rPr>
                <w:noProof/>
                <w:webHidden/>
              </w:rPr>
              <w:fldChar w:fldCharType="begin"/>
            </w:r>
            <w:r>
              <w:rPr>
                <w:noProof/>
                <w:webHidden/>
              </w:rPr>
              <w:instrText xml:space="preserve"> PAGEREF _Toc226531872 \h </w:instrText>
            </w:r>
            <w:r>
              <w:rPr>
                <w:noProof/>
                <w:webHidden/>
              </w:rPr>
            </w:r>
            <w:r>
              <w:rPr>
                <w:noProof/>
                <w:webHidden/>
              </w:rPr>
              <w:fldChar w:fldCharType="separate"/>
            </w:r>
            <w:r>
              <w:rPr>
                <w:noProof/>
                <w:webHidden/>
              </w:rPr>
              <w:t>16</w:t>
            </w:r>
            <w:r>
              <w:rPr>
                <w:noProof/>
                <w:webHidden/>
              </w:rPr>
              <w:fldChar w:fldCharType="end"/>
            </w:r>
          </w:hyperlink>
        </w:p>
        <w:p w14:paraId="290BB31B"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3" w:history="1">
            <w:r w:rsidRPr="005B277D">
              <w:rPr>
                <w:rStyle w:val="Hyperlink"/>
                <w:noProof/>
              </w:rPr>
              <w:t>Zugang nicht verschärfen</w:t>
            </w:r>
            <w:r>
              <w:rPr>
                <w:noProof/>
                <w:webHidden/>
              </w:rPr>
              <w:tab/>
            </w:r>
            <w:r>
              <w:rPr>
                <w:noProof/>
                <w:webHidden/>
              </w:rPr>
              <w:fldChar w:fldCharType="begin"/>
            </w:r>
            <w:r>
              <w:rPr>
                <w:noProof/>
                <w:webHidden/>
              </w:rPr>
              <w:instrText xml:space="preserve"> PAGEREF _Toc226531873 \h </w:instrText>
            </w:r>
            <w:r>
              <w:rPr>
                <w:noProof/>
                <w:webHidden/>
              </w:rPr>
            </w:r>
            <w:r>
              <w:rPr>
                <w:noProof/>
                <w:webHidden/>
              </w:rPr>
              <w:fldChar w:fldCharType="separate"/>
            </w:r>
            <w:r>
              <w:rPr>
                <w:noProof/>
                <w:webHidden/>
              </w:rPr>
              <w:t>17</w:t>
            </w:r>
            <w:r>
              <w:rPr>
                <w:noProof/>
                <w:webHidden/>
              </w:rPr>
              <w:fldChar w:fldCharType="end"/>
            </w:r>
          </w:hyperlink>
        </w:p>
        <w:p w14:paraId="40E2EC93"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4" w:history="1">
            <w:r w:rsidRPr="005B277D">
              <w:rPr>
                <w:rStyle w:val="Hyperlink"/>
                <w:noProof/>
              </w:rPr>
              <w:t>Weniger Leistungen fürs gleiche Geld</w:t>
            </w:r>
            <w:r>
              <w:rPr>
                <w:noProof/>
                <w:webHidden/>
              </w:rPr>
              <w:tab/>
            </w:r>
            <w:r>
              <w:rPr>
                <w:noProof/>
                <w:webHidden/>
              </w:rPr>
              <w:fldChar w:fldCharType="begin"/>
            </w:r>
            <w:r>
              <w:rPr>
                <w:noProof/>
                <w:webHidden/>
              </w:rPr>
              <w:instrText xml:space="preserve"> PAGEREF _Toc226531874 \h </w:instrText>
            </w:r>
            <w:r>
              <w:rPr>
                <w:noProof/>
                <w:webHidden/>
              </w:rPr>
            </w:r>
            <w:r>
              <w:rPr>
                <w:noProof/>
                <w:webHidden/>
              </w:rPr>
              <w:fldChar w:fldCharType="separate"/>
            </w:r>
            <w:r>
              <w:rPr>
                <w:noProof/>
                <w:webHidden/>
              </w:rPr>
              <w:t>19</w:t>
            </w:r>
            <w:r>
              <w:rPr>
                <w:noProof/>
                <w:webHidden/>
              </w:rPr>
              <w:fldChar w:fldCharType="end"/>
            </w:r>
          </w:hyperlink>
        </w:p>
        <w:p w14:paraId="5C9A8E1B"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5" w:history="1">
            <w:r w:rsidRPr="005B277D">
              <w:rPr>
                <w:rStyle w:val="Hyperlink"/>
                <w:noProof/>
              </w:rPr>
              <w:t>„Das unsichtbare Rückgrat der Pflege“</w:t>
            </w:r>
            <w:r>
              <w:rPr>
                <w:noProof/>
                <w:webHidden/>
              </w:rPr>
              <w:tab/>
            </w:r>
            <w:r>
              <w:rPr>
                <w:noProof/>
                <w:webHidden/>
              </w:rPr>
              <w:fldChar w:fldCharType="begin"/>
            </w:r>
            <w:r>
              <w:rPr>
                <w:noProof/>
                <w:webHidden/>
              </w:rPr>
              <w:instrText xml:space="preserve"> PAGEREF _Toc226531875 \h </w:instrText>
            </w:r>
            <w:r>
              <w:rPr>
                <w:noProof/>
                <w:webHidden/>
              </w:rPr>
            </w:r>
            <w:r>
              <w:rPr>
                <w:noProof/>
                <w:webHidden/>
              </w:rPr>
              <w:fldChar w:fldCharType="separate"/>
            </w:r>
            <w:r>
              <w:rPr>
                <w:noProof/>
                <w:webHidden/>
              </w:rPr>
              <w:t>19</w:t>
            </w:r>
            <w:r>
              <w:rPr>
                <w:noProof/>
                <w:webHidden/>
              </w:rPr>
              <w:fldChar w:fldCharType="end"/>
            </w:r>
          </w:hyperlink>
        </w:p>
        <w:p w14:paraId="304A7F52"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6" w:history="1">
            <w:r w:rsidRPr="005B277D">
              <w:rPr>
                <w:rStyle w:val="Hyperlink"/>
                <w:noProof/>
              </w:rPr>
              <w:t>Honorarkürzung bei Psychotherapeuten</w:t>
            </w:r>
            <w:r>
              <w:rPr>
                <w:noProof/>
                <w:webHidden/>
              </w:rPr>
              <w:tab/>
            </w:r>
            <w:r>
              <w:rPr>
                <w:noProof/>
                <w:webHidden/>
              </w:rPr>
              <w:fldChar w:fldCharType="begin"/>
            </w:r>
            <w:r>
              <w:rPr>
                <w:noProof/>
                <w:webHidden/>
              </w:rPr>
              <w:instrText xml:space="preserve"> PAGEREF _Toc226531876 \h </w:instrText>
            </w:r>
            <w:r>
              <w:rPr>
                <w:noProof/>
                <w:webHidden/>
              </w:rPr>
            </w:r>
            <w:r>
              <w:rPr>
                <w:noProof/>
                <w:webHidden/>
              </w:rPr>
              <w:fldChar w:fldCharType="separate"/>
            </w:r>
            <w:r>
              <w:rPr>
                <w:noProof/>
                <w:webHidden/>
              </w:rPr>
              <w:t>21</w:t>
            </w:r>
            <w:r>
              <w:rPr>
                <w:noProof/>
                <w:webHidden/>
              </w:rPr>
              <w:fldChar w:fldCharType="end"/>
            </w:r>
          </w:hyperlink>
        </w:p>
        <w:p w14:paraId="35033AA4"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7" w:history="1">
            <w:r w:rsidRPr="005B277D">
              <w:rPr>
                <w:rStyle w:val="Hyperlink"/>
                <w:noProof/>
              </w:rPr>
              <w:t>Mehr Prävention nötig</w:t>
            </w:r>
            <w:r>
              <w:rPr>
                <w:noProof/>
                <w:webHidden/>
              </w:rPr>
              <w:tab/>
            </w:r>
            <w:r>
              <w:rPr>
                <w:noProof/>
                <w:webHidden/>
              </w:rPr>
              <w:fldChar w:fldCharType="begin"/>
            </w:r>
            <w:r>
              <w:rPr>
                <w:noProof/>
                <w:webHidden/>
              </w:rPr>
              <w:instrText xml:space="preserve"> PAGEREF _Toc226531877 \h </w:instrText>
            </w:r>
            <w:r>
              <w:rPr>
                <w:noProof/>
                <w:webHidden/>
              </w:rPr>
            </w:r>
            <w:r>
              <w:rPr>
                <w:noProof/>
                <w:webHidden/>
              </w:rPr>
              <w:fldChar w:fldCharType="separate"/>
            </w:r>
            <w:r>
              <w:rPr>
                <w:noProof/>
                <w:webHidden/>
              </w:rPr>
              <w:t>22</w:t>
            </w:r>
            <w:r>
              <w:rPr>
                <w:noProof/>
                <w:webHidden/>
              </w:rPr>
              <w:fldChar w:fldCharType="end"/>
            </w:r>
          </w:hyperlink>
        </w:p>
        <w:p w14:paraId="57ED74DA"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8" w:history="1">
            <w:r w:rsidRPr="005B277D">
              <w:rPr>
                <w:rStyle w:val="Hyperlink"/>
                <w:noProof/>
              </w:rPr>
              <w:t>Digitale Akte für Gesundheitsdaten</w:t>
            </w:r>
            <w:r>
              <w:rPr>
                <w:noProof/>
                <w:webHidden/>
              </w:rPr>
              <w:tab/>
            </w:r>
            <w:r>
              <w:rPr>
                <w:noProof/>
                <w:webHidden/>
              </w:rPr>
              <w:fldChar w:fldCharType="begin"/>
            </w:r>
            <w:r>
              <w:rPr>
                <w:noProof/>
                <w:webHidden/>
              </w:rPr>
              <w:instrText xml:space="preserve"> PAGEREF _Toc226531878 \h </w:instrText>
            </w:r>
            <w:r>
              <w:rPr>
                <w:noProof/>
                <w:webHidden/>
              </w:rPr>
            </w:r>
            <w:r>
              <w:rPr>
                <w:noProof/>
                <w:webHidden/>
              </w:rPr>
              <w:fldChar w:fldCharType="separate"/>
            </w:r>
            <w:r>
              <w:rPr>
                <w:noProof/>
                <w:webHidden/>
              </w:rPr>
              <w:t>23</w:t>
            </w:r>
            <w:r>
              <w:rPr>
                <w:noProof/>
                <w:webHidden/>
              </w:rPr>
              <w:fldChar w:fldCharType="end"/>
            </w:r>
          </w:hyperlink>
        </w:p>
        <w:p w14:paraId="4BA8AFC7"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79" w:history="1">
            <w:r w:rsidRPr="005B277D">
              <w:rPr>
                <w:rStyle w:val="Hyperlink"/>
                <w:noProof/>
              </w:rPr>
              <w:t>Gut leben trotz chronischer Erkrankung</w:t>
            </w:r>
            <w:r>
              <w:rPr>
                <w:noProof/>
                <w:webHidden/>
              </w:rPr>
              <w:tab/>
            </w:r>
            <w:r>
              <w:rPr>
                <w:noProof/>
                <w:webHidden/>
              </w:rPr>
              <w:fldChar w:fldCharType="begin"/>
            </w:r>
            <w:r>
              <w:rPr>
                <w:noProof/>
                <w:webHidden/>
              </w:rPr>
              <w:instrText xml:space="preserve"> PAGEREF _Toc226531879 \h </w:instrText>
            </w:r>
            <w:r>
              <w:rPr>
                <w:noProof/>
                <w:webHidden/>
              </w:rPr>
            </w:r>
            <w:r>
              <w:rPr>
                <w:noProof/>
                <w:webHidden/>
              </w:rPr>
              <w:fldChar w:fldCharType="separate"/>
            </w:r>
            <w:r>
              <w:rPr>
                <w:noProof/>
                <w:webHidden/>
              </w:rPr>
              <w:t>24</w:t>
            </w:r>
            <w:r>
              <w:rPr>
                <w:noProof/>
                <w:webHidden/>
              </w:rPr>
              <w:fldChar w:fldCharType="end"/>
            </w:r>
          </w:hyperlink>
        </w:p>
        <w:p w14:paraId="216C444E"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0" w:history="1">
            <w:r w:rsidRPr="005B277D">
              <w:rPr>
                <w:rStyle w:val="Hyperlink"/>
                <w:noProof/>
              </w:rPr>
              <w:t>Wo Suchtpolitik in Deutschland versagt</w:t>
            </w:r>
            <w:r>
              <w:rPr>
                <w:noProof/>
                <w:webHidden/>
              </w:rPr>
              <w:tab/>
            </w:r>
            <w:r>
              <w:rPr>
                <w:noProof/>
                <w:webHidden/>
              </w:rPr>
              <w:fldChar w:fldCharType="begin"/>
            </w:r>
            <w:r>
              <w:rPr>
                <w:noProof/>
                <w:webHidden/>
              </w:rPr>
              <w:instrText xml:space="preserve"> PAGEREF _Toc226531880 \h </w:instrText>
            </w:r>
            <w:r>
              <w:rPr>
                <w:noProof/>
                <w:webHidden/>
              </w:rPr>
            </w:r>
            <w:r>
              <w:rPr>
                <w:noProof/>
                <w:webHidden/>
              </w:rPr>
              <w:fldChar w:fldCharType="separate"/>
            </w:r>
            <w:r>
              <w:rPr>
                <w:noProof/>
                <w:webHidden/>
              </w:rPr>
              <w:t>25</w:t>
            </w:r>
            <w:r>
              <w:rPr>
                <w:noProof/>
                <w:webHidden/>
              </w:rPr>
              <w:fldChar w:fldCharType="end"/>
            </w:r>
          </w:hyperlink>
        </w:p>
        <w:p w14:paraId="51852419"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1" w:history="1">
            <w:r w:rsidRPr="005B277D">
              <w:rPr>
                <w:rStyle w:val="Hyperlink"/>
                <w:noProof/>
              </w:rPr>
              <w:t>Zecken stechen ganzjährig zu</w:t>
            </w:r>
            <w:r>
              <w:rPr>
                <w:noProof/>
                <w:webHidden/>
              </w:rPr>
              <w:tab/>
            </w:r>
            <w:r>
              <w:rPr>
                <w:noProof/>
                <w:webHidden/>
              </w:rPr>
              <w:fldChar w:fldCharType="begin"/>
            </w:r>
            <w:r>
              <w:rPr>
                <w:noProof/>
                <w:webHidden/>
              </w:rPr>
              <w:instrText xml:space="preserve"> PAGEREF _Toc226531881 \h </w:instrText>
            </w:r>
            <w:r>
              <w:rPr>
                <w:noProof/>
                <w:webHidden/>
              </w:rPr>
            </w:r>
            <w:r>
              <w:rPr>
                <w:noProof/>
                <w:webHidden/>
              </w:rPr>
              <w:fldChar w:fldCharType="separate"/>
            </w:r>
            <w:r>
              <w:rPr>
                <w:noProof/>
                <w:webHidden/>
              </w:rPr>
              <w:t>26</w:t>
            </w:r>
            <w:r>
              <w:rPr>
                <w:noProof/>
                <w:webHidden/>
              </w:rPr>
              <w:fldChar w:fldCharType="end"/>
            </w:r>
          </w:hyperlink>
        </w:p>
        <w:p w14:paraId="7BC6C306"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2" w:history="1">
            <w:r w:rsidRPr="005B277D">
              <w:rPr>
                <w:rStyle w:val="Hyperlink"/>
                <w:noProof/>
              </w:rPr>
              <w:t>Bei Diabetes sind nicht alle gleich</w:t>
            </w:r>
            <w:r>
              <w:rPr>
                <w:noProof/>
                <w:webHidden/>
              </w:rPr>
              <w:tab/>
            </w:r>
            <w:r>
              <w:rPr>
                <w:noProof/>
                <w:webHidden/>
              </w:rPr>
              <w:fldChar w:fldCharType="begin"/>
            </w:r>
            <w:r>
              <w:rPr>
                <w:noProof/>
                <w:webHidden/>
              </w:rPr>
              <w:instrText xml:space="preserve"> PAGEREF _Toc226531882 \h </w:instrText>
            </w:r>
            <w:r>
              <w:rPr>
                <w:noProof/>
                <w:webHidden/>
              </w:rPr>
            </w:r>
            <w:r>
              <w:rPr>
                <w:noProof/>
                <w:webHidden/>
              </w:rPr>
              <w:fldChar w:fldCharType="separate"/>
            </w:r>
            <w:r>
              <w:rPr>
                <w:noProof/>
                <w:webHidden/>
              </w:rPr>
              <w:t>27</w:t>
            </w:r>
            <w:r>
              <w:rPr>
                <w:noProof/>
                <w:webHidden/>
              </w:rPr>
              <w:fldChar w:fldCharType="end"/>
            </w:r>
          </w:hyperlink>
        </w:p>
        <w:p w14:paraId="1334A542"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3" w:history="1">
            <w:r w:rsidRPr="005B277D">
              <w:rPr>
                <w:rStyle w:val="Hyperlink"/>
                <w:noProof/>
              </w:rPr>
              <w:t>Überdosierung und Nebenwirkungen</w:t>
            </w:r>
            <w:r>
              <w:rPr>
                <w:noProof/>
                <w:webHidden/>
              </w:rPr>
              <w:tab/>
            </w:r>
            <w:r>
              <w:rPr>
                <w:noProof/>
                <w:webHidden/>
              </w:rPr>
              <w:fldChar w:fldCharType="begin"/>
            </w:r>
            <w:r>
              <w:rPr>
                <w:noProof/>
                <w:webHidden/>
              </w:rPr>
              <w:instrText xml:space="preserve"> PAGEREF _Toc226531883 \h </w:instrText>
            </w:r>
            <w:r>
              <w:rPr>
                <w:noProof/>
                <w:webHidden/>
              </w:rPr>
            </w:r>
            <w:r>
              <w:rPr>
                <w:noProof/>
                <w:webHidden/>
              </w:rPr>
              <w:fldChar w:fldCharType="separate"/>
            </w:r>
            <w:r>
              <w:rPr>
                <w:noProof/>
                <w:webHidden/>
              </w:rPr>
              <w:t>28</w:t>
            </w:r>
            <w:r>
              <w:rPr>
                <w:noProof/>
                <w:webHidden/>
              </w:rPr>
              <w:fldChar w:fldCharType="end"/>
            </w:r>
          </w:hyperlink>
        </w:p>
        <w:p w14:paraId="65B493FD"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4" w:history="1">
            <w:r w:rsidRPr="005B277D">
              <w:rPr>
                <w:rStyle w:val="Hyperlink"/>
                <w:noProof/>
              </w:rPr>
              <w:t>Divertikeln vorbeugen</w:t>
            </w:r>
            <w:r>
              <w:rPr>
                <w:noProof/>
                <w:webHidden/>
              </w:rPr>
              <w:tab/>
            </w:r>
            <w:r>
              <w:rPr>
                <w:noProof/>
                <w:webHidden/>
              </w:rPr>
              <w:fldChar w:fldCharType="begin"/>
            </w:r>
            <w:r>
              <w:rPr>
                <w:noProof/>
                <w:webHidden/>
              </w:rPr>
              <w:instrText xml:space="preserve"> PAGEREF _Toc226531884 \h </w:instrText>
            </w:r>
            <w:r>
              <w:rPr>
                <w:noProof/>
                <w:webHidden/>
              </w:rPr>
            </w:r>
            <w:r>
              <w:rPr>
                <w:noProof/>
                <w:webHidden/>
              </w:rPr>
              <w:fldChar w:fldCharType="separate"/>
            </w:r>
            <w:r>
              <w:rPr>
                <w:noProof/>
                <w:webHidden/>
              </w:rPr>
              <w:t>29</w:t>
            </w:r>
            <w:r>
              <w:rPr>
                <w:noProof/>
                <w:webHidden/>
              </w:rPr>
              <w:fldChar w:fldCharType="end"/>
            </w:r>
          </w:hyperlink>
        </w:p>
        <w:p w14:paraId="5B9E47E5"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5" w:history="1">
            <w:r w:rsidRPr="005B277D">
              <w:rPr>
                <w:rStyle w:val="Hyperlink"/>
                <w:noProof/>
              </w:rPr>
              <w:t>Junge Menschen vor dem Hass im Internet schützen</w:t>
            </w:r>
            <w:r>
              <w:rPr>
                <w:noProof/>
                <w:webHidden/>
              </w:rPr>
              <w:tab/>
            </w:r>
            <w:r>
              <w:rPr>
                <w:noProof/>
                <w:webHidden/>
              </w:rPr>
              <w:fldChar w:fldCharType="begin"/>
            </w:r>
            <w:r>
              <w:rPr>
                <w:noProof/>
                <w:webHidden/>
              </w:rPr>
              <w:instrText xml:space="preserve"> PAGEREF _Toc226531885 \h </w:instrText>
            </w:r>
            <w:r>
              <w:rPr>
                <w:noProof/>
                <w:webHidden/>
              </w:rPr>
            </w:r>
            <w:r>
              <w:rPr>
                <w:noProof/>
                <w:webHidden/>
              </w:rPr>
              <w:fldChar w:fldCharType="separate"/>
            </w:r>
            <w:r>
              <w:rPr>
                <w:noProof/>
                <w:webHidden/>
              </w:rPr>
              <w:t>30</w:t>
            </w:r>
            <w:r>
              <w:rPr>
                <w:noProof/>
                <w:webHidden/>
              </w:rPr>
              <w:fldChar w:fldCharType="end"/>
            </w:r>
          </w:hyperlink>
        </w:p>
        <w:p w14:paraId="6239071D"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6" w:history="1">
            <w:r w:rsidRPr="005B277D">
              <w:rPr>
                <w:rStyle w:val="Hyperlink"/>
                <w:noProof/>
              </w:rPr>
              <w:t>Zwischen Erinnerung und Realität</w:t>
            </w:r>
            <w:r>
              <w:rPr>
                <w:noProof/>
                <w:webHidden/>
              </w:rPr>
              <w:tab/>
            </w:r>
            <w:r>
              <w:rPr>
                <w:noProof/>
                <w:webHidden/>
              </w:rPr>
              <w:fldChar w:fldCharType="begin"/>
            </w:r>
            <w:r>
              <w:rPr>
                <w:noProof/>
                <w:webHidden/>
              </w:rPr>
              <w:instrText xml:space="preserve"> PAGEREF _Toc226531886 \h </w:instrText>
            </w:r>
            <w:r>
              <w:rPr>
                <w:noProof/>
                <w:webHidden/>
              </w:rPr>
            </w:r>
            <w:r>
              <w:rPr>
                <w:noProof/>
                <w:webHidden/>
              </w:rPr>
              <w:fldChar w:fldCharType="separate"/>
            </w:r>
            <w:r>
              <w:rPr>
                <w:noProof/>
                <w:webHidden/>
              </w:rPr>
              <w:t>32</w:t>
            </w:r>
            <w:r>
              <w:rPr>
                <w:noProof/>
                <w:webHidden/>
              </w:rPr>
              <w:fldChar w:fldCharType="end"/>
            </w:r>
          </w:hyperlink>
        </w:p>
        <w:p w14:paraId="40D2C518"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7" w:history="1">
            <w:r w:rsidRPr="005B277D">
              <w:rPr>
                <w:rStyle w:val="Hyperlink"/>
                <w:noProof/>
              </w:rPr>
              <w:t>Neue Poststationen sind barrierefrei</w:t>
            </w:r>
            <w:r>
              <w:rPr>
                <w:noProof/>
                <w:webHidden/>
              </w:rPr>
              <w:tab/>
            </w:r>
            <w:r>
              <w:rPr>
                <w:noProof/>
                <w:webHidden/>
              </w:rPr>
              <w:fldChar w:fldCharType="begin"/>
            </w:r>
            <w:r>
              <w:rPr>
                <w:noProof/>
                <w:webHidden/>
              </w:rPr>
              <w:instrText xml:space="preserve"> PAGEREF _Toc226531887 \h </w:instrText>
            </w:r>
            <w:r>
              <w:rPr>
                <w:noProof/>
                <w:webHidden/>
              </w:rPr>
            </w:r>
            <w:r>
              <w:rPr>
                <w:noProof/>
                <w:webHidden/>
              </w:rPr>
              <w:fldChar w:fldCharType="separate"/>
            </w:r>
            <w:r>
              <w:rPr>
                <w:noProof/>
                <w:webHidden/>
              </w:rPr>
              <w:t>33</w:t>
            </w:r>
            <w:r>
              <w:rPr>
                <w:noProof/>
                <w:webHidden/>
              </w:rPr>
              <w:fldChar w:fldCharType="end"/>
            </w:r>
          </w:hyperlink>
        </w:p>
        <w:p w14:paraId="70DFF039"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8" w:history="1">
            <w:r w:rsidRPr="005B277D">
              <w:rPr>
                <w:rStyle w:val="Hyperlink"/>
                <w:noProof/>
              </w:rPr>
              <w:t>Hindernisse im Studium überwinden</w:t>
            </w:r>
            <w:r>
              <w:rPr>
                <w:noProof/>
                <w:webHidden/>
              </w:rPr>
              <w:tab/>
            </w:r>
            <w:r>
              <w:rPr>
                <w:noProof/>
                <w:webHidden/>
              </w:rPr>
              <w:fldChar w:fldCharType="begin"/>
            </w:r>
            <w:r>
              <w:rPr>
                <w:noProof/>
                <w:webHidden/>
              </w:rPr>
              <w:instrText xml:space="preserve"> PAGEREF _Toc226531888 \h </w:instrText>
            </w:r>
            <w:r>
              <w:rPr>
                <w:noProof/>
                <w:webHidden/>
              </w:rPr>
            </w:r>
            <w:r>
              <w:rPr>
                <w:noProof/>
                <w:webHidden/>
              </w:rPr>
              <w:fldChar w:fldCharType="separate"/>
            </w:r>
            <w:r>
              <w:rPr>
                <w:noProof/>
                <w:webHidden/>
              </w:rPr>
              <w:t>34</w:t>
            </w:r>
            <w:r>
              <w:rPr>
                <w:noProof/>
                <w:webHidden/>
              </w:rPr>
              <w:fldChar w:fldCharType="end"/>
            </w:r>
          </w:hyperlink>
        </w:p>
        <w:p w14:paraId="5A0FB7FC"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89" w:history="1">
            <w:r w:rsidRPr="005B277D">
              <w:rPr>
                <w:rStyle w:val="Hyperlink"/>
                <w:noProof/>
              </w:rPr>
              <w:t>Aktuelle Filme auf VdK-TV</w:t>
            </w:r>
            <w:r>
              <w:rPr>
                <w:noProof/>
                <w:webHidden/>
              </w:rPr>
              <w:tab/>
            </w:r>
            <w:r>
              <w:rPr>
                <w:noProof/>
                <w:webHidden/>
              </w:rPr>
              <w:fldChar w:fldCharType="begin"/>
            </w:r>
            <w:r>
              <w:rPr>
                <w:noProof/>
                <w:webHidden/>
              </w:rPr>
              <w:instrText xml:space="preserve"> PAGEREF _Toc226531889 \h </w:instrText>
            </w:r>
            <w:r>
              <w:rPr>
                <w:noProof/>
                <w:webHidden/>
              </w:rPr>
            </w:r>
            <w:r>
              <w:rPr>
                <w:noProof/>
                <w:webHidden/>
              </w:rPr>
              <w:fldChar w:fldCharType="separate"/>
            </w:r>
            <w:r>
              <w:rPr>
                <w:noProof/>
                <w:webHidden/>
              </w:rPr>
              <w:t>35</w:t>
            </w:r>
            <w:r>
              <w:rPr>
                <w:noProof/>
                <w:webHidden/>
              </w:rPr>
              <w:fldChar w:fldCharType="end"/>
            </w:r>
          </w:hyperlink>
        </w:p>
        <w:p w14:paraId="2812335D"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0" w:history="1">
            <w:r w:rsidRPr="005B277D">
              <w:rPr>
                <w:rStyle w:val="Hyperlink"/>
                <w:noProof/>
              </w:rPr>
              <w:t>„miteinander“ im April</w:t>
            </w:r>
            <w:r>
              <w:rPr>
                <w:noProof/>
                <w:webHidden/>
              </w:rPr>
              <w:tab/>
            </w:r>
            <w:r>
              <w:rPr>
                <w:noProof/>
                <w:webHidden/>
              </w:rPr>
              <w:fldChar w:fldCharType="begin"/>
            </w:r>
            <w:r>
              <w:rPr>
                <w:noProof/>
                <w:webHidden/>
              </w:rPr>
              <w:instrText xml:space="preserve"> PAGEREF _Toc226531890 \h </w:instrText>
            </w:r>
            <w:r>
              <w:rPr>
                <w:noProof/>
                <w:webHidden/>
              </w:rPr>
            </w:r>
            <w:r>
              <w:rPr>
                <w:noProof/>
                <w:webHidden/>
              </w:rPr>
              <w:fldChar w:fldCharType="separate"/>
            </w:r>
            <w:r>
              <w:rPr>
                <w:noProof/>
                <w:webHidden/>
              </w:rPr>
              <w:t>36</w:t>
            </w:r>
            <w:r>
              <w:rPr>
                <w:noProof/>
                <w:webHidden/>
              </w:rPr>
              <w:fldChar w:fldCharType="end"/>
            </w:r>
          </w:hyperlink>
        </w:p>
        <w:p w14:paraId="5D493114"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1" w:history="1">
            <w:r w:rsidRPr="005B277D">
              <w:rPr>
                <w:rStyle w:val="Hyperlink"/>
                <w:noProof/>
              </w:rPr>
              <w:t>Radreisen auf die sanfte Tour</w:t>
            </w:r>
            <w:r>
              <w:rPr>
                <w:noProof/>
                <w:webHidden/>
              </w:rPr>
              <w:tab/>
            </w:r>
            <w:r>
              <w:rPr>
                <w:noProof/>
                <w:webHidden/>
              </w:rPr>
              <w:fldChar w:fldCharType="begin"/>
            </w:r>
            <w:r>
              <w:rPr>
                <w:noProof/>
                <w:webHidden/>
              </w:rPr>
              <w:instrText xml:space="preserve"> PAGEREF _Toc226531891 \h </w:instrText>
            </w:r>
            <w:r>
              <w:rPr>
                <w:noProof/>
                <w:webHidden/>
              </w:rPr>
            </w:r>
            <w:r>
              <w:rPr>
                <w:noProof/>
                <w:webHidden/>
              </w:rPr>
              <w:fldChar w:fldCharType="separate"/>
            </w:r>
            <w:r>
              <w:rPr>
                <w:noProof/>
                <w:webHidden/>
              </w:rPr>
              <w:t>37</w:t>
            </w:r>
            <w:r>
              <w:rPr>
                <w:noProof/>
                <w:webHidden/>
              </w:rPr>
              <w:fldChar w:fldCharType="end"/>
            </w:r>
          </w:hyperlink>
        </w:p>
        <w:p w14:paraId="5BECB23E"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2" w:history="1">
            <w:r w:rsidRPr="005B277D">
              <w:rPr>
                <w:rStyle w:val="Hyperlink"/>
                <w:noProof/>
              </w:rPr>
              <w:t>Wissenswertes rund ums Ovale</w:t>
            </w:r>
            <w:r>
              <w:rPr>
                <w:noProof/>
                <w:webHidden/>
              </w:rPr>
              <w:tab/>
            </w:r>
            <w:r>
              <w:rPr>
                <w:noProof/>
                <w:webHidden/>
              </w:rPr>
              <w:fldChar w:fldCharType="begin"/>
            </w:r>
            <w:r>
              <w:rPr>
                <w:noProof/>
                <w:webHidden/>
              </w:rPr>
              <w:instrText xml:space="preserve"> PAGEREF _Toc226531892 \h </w:instrText>
            </w:r>
            <w:r>
              <w:rPr>
                <w:noProof/>
                <w:webHidden/>
              </w:rPr>
            </w:r>
            <w:r>
              <w:rPr>
                <w:noProof/>
                <w:webHidden/>
              </w:rPr>
              <w:fldChar w:fldCharType="separate"/>
            </w:r>
            <w:r>
              <w:rPr>
                <w:noProof/>
                <w:webHidden/>
              </w:rPr>
              <w:t>39</w:t>
            </w:r>
            <w:r>
              <w:rPr>
                <w:noProof/>
                <w:webHidden/>
              </w:rPr>
              <w:fldChar w:fldCharType="end"/>
            </w:r>
          </w:hyperlink>
        </w:p>
        <w:p w14:paraId="227ED688"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3" w:history="1">
            <w:r w:rsidRPr="005B277D">
              <w:rPr>
                <w:rStyle w:val="Hyperlink"/>
                <w:noProof/>
              </w:rPr>
              <w:t>Vorbereitung auf die Wandersaison</w:t>
            </w:r>
            <w:r>
              <w:rPr>
                <w:noProof/>
                <w:webHidden/>
              </w:rPr>
              <w:tab/>
            </w:r>
            <w:r>
              <w:rPr>
                <w:noProof/>
                <w:webHidden/>
              </w:rPr>
              <w:fldChar w:fldCharType="begin"/>
            </w:r>
            <w:r>
              <w:rPr>
                <w:noProof/>
                <w:webHidden/>
              </w:rPr>
              <w:instrText xml:space="preserve"> PAGEREF _Toc226531893 \h </w:instrText>
            </w:r>
            <w:r>
              <w:rPr>
                <w:noProof/>
                <w:webHidden/>
              </w:rPr>
            </w:r>
            <w:r>
              <w:rPr>
                <w:noProof/>
                <w:webHidden/>
              </w:rPr>
              <w:fldChar w:fldCharType="separate"/>
            </w:r>
            <w:r>
              <w:rPr>
                <w:noProof/>
                <w:webHidden/>
              </w:rPr>
              <w:t>40</w:t>
            </w:r>
            <w:r>
              <w:rPr>
                <w:noProof/>
                <w:webHidden/>
              </w:rPr>
              <w:fldChar w:fldCharType="end"/>
            </w:r>
          </w:hyperlink>
        </w:p>
        <w:p w14:paraId="76F8E95C"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4" w:history="1">
            <w:r w:rsidRPr="005B277D">
              <w:rPr>
                <w:rStyle w:val="Hyperlink"/>
                <w:noProof/>
              </w:rPr>
              <w:t>Gefährliche Phishing-Mails im Umlauf</w:t>
            </w:r>
            <w:r>
              <w:rPr>
                <w:noProof/>
                <w:webHidden/>
              </w:rPr>
              <w:tab/>
            </w:r>
            <w:r>
              <w:rPr>
                <w:noProof/>
                <w:webHidden/>
              </w:rPr>
              <w:fldChar w:fldCharType="begin"/>
            </w:r>
            <w:r>
              <w:rPr>
                <w:noProof/>
                <w:webHidden/>
              </w:rPr>
              <w:instrText xml:space="preserve"> PAGEREF _Toc226531894 \h </w:instrText>
            </w:r>
            <w:r>
              <w:rPr>
                <w:noProof/>
                <w:webHidden/>
              </w:rPr>
            </w:r>
            <w:r>
              <w:rPr>
                <w:noProof/>
                <w:webHidden/>
              </w:rPr>
              <w:fldChar w:fldCharType="separate"/>
            </w:r>
            <w:r>
              <w:rPr>
                <w:noProof/>
                <w:webHidden/>
              </w:rPr>
              <w:t>42</w:t>
            </w:r>
            <w:r>
              <w:rPr>
                <w:noProof/>
                <w:webHidden/>
              </w:rPr>
              <w:fldChar w:fldCharType="end"/>
            </w:r>
          </w:hyperlink>
        </w:p>
        <w:p w14:paraId="461D52FA"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5" w:history="1">
            <w:r w:rsidRPr="005B277D">
              <w:rPr>
                <w:rStyle w:val="Hyperlink"/>
                <w:noProof/>
              </w:rPr>
              <w:t>Schlechte Noten für Zucker</w:t>
            </w:r>
            <w:r>
              <w:rPr>
                <w:noProof/>
                <w:webHidden/>
              </w:rPr>
              <w:tab/>
            </w:r>
            <w:r>
              <w:rPr>
                <w:noProof/>
                <w:webHidden/>
              </w:rPr>
              <w:fldChar w:fldCharType="begin"/>
            </w:r>
            <w:r>
              <w:rPr>
                <w:noProof/>
                <w:webHidden/>
              </w:rPr>
              <w:instrText xml:space="preserve"> PAGEREF _Toc226531895 \h </w:instrText>
            </w:r>
            <w:r>
              <w:rPr>
                <w:noProof/>
                <w:webHidden/>
              </w:rPr>
            </w:r>
            <w:r>
              <w:rPr>
                <w:noProof/>
                <w:webHidden/>
              </w:rPr>
              <w:fldChar w:fldCharType="separate"/>
            </w:r>
            <w:r>
              <w:rPr>
                <w:noProof/>
                <w:webHidden/>
              </w:rPr>
              <w:t>43</w:t>
            </w:r>
            <w:r>
              <w:rPr>
                <w:noProof/>
                <w:webHidden/>
              </w:rPr>
              <w:fldChar w:fldCharType="end"/>
            </w:r>
          </w:hyperlink>
        </w:p>
        <w:p w14:paraId="6E0511AA"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6" w:history="1">
            <w:r w:rsidRPr="005B277D">
              <w:rPr>
                <w:rStyle w:val="Hyperlink"/>
                <w:noProof/>
              </w:rPr>
              <w:t>Ein Zeichen für ökologische Produktion</w:t>
            </w:r>
            <w:r>
              <w:rPr>
                <w:noProof/>
                <w:webHidden/>
              </w:rPr>
              <w:tab/>
            </w:r>
            <w:r>
              <w:rPr>
                <w:noProof/>
                <w:webHidden/>
              </w:rPr>
              <w:fldChar w:fldCharType="begin"/>
            </w:r>
            <w:r>
              <w:rPr>
                <w:noProof/>
                <w:webHidden/>
              </w:rPr>
              <w:instrText xml:space="preserve"> PAGEREF _Toc226531896 \h </w:instrText>
            </w:r>
            <w:r>
              <w:rPr>
                <w:noProof/>
                <w:webHidden/>
              </w:rPr>
            </w:r>
            <w:r>
              <w:rPr>
                <w:noProof/>
                <w:webHidden/>
              </w:rPr>
              <w:fldChar w:fldCharType="separate"/>
            </w:r>
            <w:r>
              <w:rPr>
                <w:noProof/>
                <w:webHidden/>
              </w:rPr>
              <w:t>44</w:t>
            </w:r>
            <w:r>
              <w:rPr>
                <w:noProof/>
                <w:webHidden/>
              </w:rPr>
              <w:fldChar w:fldCharType="end"/>
            </w:r>
          </w:hyperlink>
        </w:p>
        <w:p w14:paraId="5383A696"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7" w:history="1">
            <w:r w:rsidRPr="005B277D">
              <w:rPr>
                <w:rStyle w:val="Hyperlink"/>
                <w:noProof/>
              </w:rPr>
              <w:t>Ihre tägliche Dosis Humor</w:t>
            </w:r>
            <w:r>
              <w:rPr>
                <w:noProof/>
                <w:webHidden/>
              </w:rPr>
              <w:tab/>
            </w:r>
            <w:r>
              <w:rPr>
                <w:noProof/>
                <w:webHidden/>
              </w:rPr>
              <w:fldChar w:fldCharType="begin"/>
            </w:r>
            <w:r>
              <w:rPr>
                <w:noProof/>
                <w:webHidden/>
              </w:rPr>
              <w:instrText xml:space="preserve"> PAGEREF _Toc226531897 \h </w:instrText>
            </w:r>
            <w:r>
              <w:rPr>
                <w:noProof/>
                <w:webHidden/>
              </w:rPr>
            </w:r>
            <w:r>
              <w:rPr>
                <w:noProof/>
                <w:webHidden/>
              </w:rPr>
              <w:fldChar w:fldCharType="separate"/>
            </w:r>
            <w:r>
              <w:rPr>
                <w:noProof/>
                <w:webHidden/>
              </w:rPr>
              <w:t>45</w:t>
            </w:r>
            <w:r>
              <w:rPr>
                <w:noProof/>
                <w:webHidden/>
              </w:rPr>
              <w:fldChar w:fldCharType="end"/>
            </w:r>
          </w:hyperlink>
        </w:p>
        <w:p w14:paraId="7C9A9DD5"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8" w:history="1">
            <w:r w:rsidRPr="005B277D">
              <w:rPr>
                <w:rStyle w:val="Hyperlink"/>
                <w:noProof/>
              </w:rPr>
              <w:t>Heiß und knusprig</w:t>
            </w:r>
            <w:r>
              <w:rPr>
                <w:noProof/>
                <w:webHidden/>
              </w:rPr>
              <w:tab/>
            </w:r>
            <w:r>
              <w:rPr>
                <w:noProof/>
                <w:webHidden/>
              </w:rPr>
              <w:fldChar w:fldCharType="begin"/>
            </w:r>
            <w:r>
              <w:rPr>
                <w:noProof/>
                <w:webHidden/>
              </w:rPr>
              <w:instrText xml:space="preserve"> PAGEREF _Toc226531898 \h </w:instrText>
            </w:r>
            <w:r>
              <w:rPr>
                <w:noProof/>
                <w:webHidden/>
              </w:rPr>
            </w:r>
            <w:r>
              <w:rPr>
                <w:noProof/>
                <w:webHidden/>
              </w:rPr>
              <w:fldChar w:fldCharType="separate"/>
            </w:r>
            <w:r>
              <w:rPr>
                <w:noProof/>
                <w:webHidden/>
              </w:rPr>
              <w:t>46</w:t>
            </w:r>
            <w:r>
              <w:rPr>
                <w:noProof/>
                <w:webHidden/>
              </w:rPr>
              <w:fldChar w:fldCharType="end"/>
            </w:r>
          </w:hyperlink>
        </w:p>
        <w:p w14:paraId="52A5F04F"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899" w:history="1">
            <w:r w:rsidRPr="005B277D">
              <w:rPr>
                <w:rStyle w:val="Hyperlink"/>
                <w:noProof/>
              </w:rPr>
              <w:t>Schadstoffe raus, Sauerstoff rein</w:t>
            </w:r>
            <w:r>
              <w:rPr>
                <w:noProof/>
                <w:webHidden/>
              </w:rPr>
              <w:tab/>
            </w:r>
            <w:r>
              <w:rPr>
                <w:noProof/>
                <w:webHidden/>
              </w:rPr>
              <w:fldChar w:fldCharType="begin"/>
            </w:r>
            <w:r>
              <w:rPr>
                <w:noProof/>
                <w:webHidden/>
              </w:rPr>
              <w:instrText xml:space="preserve"> PAGEREF _Toc226531899 \h </w:instrText>
            </w:r>
            <w:r>
              <w:rPr>
                <w:noProof/>
                <w:webHidden/>
              </w:rPr>
            </w:r>
            <w:r>
              <w:rPr>
                <w:noProof/>
                <w:webHidden/>
              </w:rPr>
              <w:fldChar w:fldCharType="separate"/>
            </w:r>
            <w:r>
              <w:rPr>
                <w:noProof/>
                <w:webHidden/>
              </w:rPr>
              <w:t>47</w:t>
            </w:r>
            <w:r>
              <w:rPr>
                <w:noProof/>
                <w:webHidden/>
              </w:rPr>
              <w:fldChar w:fldCharType="end"/>
            </w:r>
          </w:hyperlink>
        </w:p>
        <w:p w14:paraId="4300F153"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900" w:history="1">
            <w:r w:rsidRPr="005B277D">
              <w:rPr>
                <w:rStyle w:val="Hyperlink"/>
                <w:noProof/>
              </w:rPr>
              <w:t>Preiswert reisen</w:t>
            </w:r>
            <w:r>
              <w:rPr>
                <w:noProof/>
                <w:webHidden/>
              </w:rPr>
              <w:tab/>
            </w:r>
            <w:r>
              <w:rPr>
                <w:noProof/>
                <w:webHidden/>
              </w:rPr>
              <w:fldChar w:fldCharType="begin"/>
            </w:r>
            <w:r>
              <w:rPr>
                <w:noProof/>
                <w:webHidden/>
              </w:rPr>
              <w:instrText xml:space="preserve"> PAGEREF _Toc226531900 \h </w:instrText>
            </w:r>
            <w:r>
              <w:rPr>
                <w:noProof/>
                <w:webHidden/>
              </w:rPr>
            </w:r>
            <w:r>
              <w:rPr>
                <w:noProof/>
                <w:webHidden/>
              </w:rPr>
              <w:fldChar w:fldCharType="separate"/>
            </w:r>
            <w:r>
              <w:rPr>
                <w:noProof/>
                <w:webHidden/>
              </w:rPr>
              <w:t>48</w:t>
            </w:r>
            <w:r>
              <w:rPr>
                <w:noProof/>
                <w:webHidden/>
              </w:rPr>
              <w:fldChar w:fldCharType="end"/>
            </w:r>
          </w:hyperlink>
        </w:p>
        <w:p w14:paraId="1636C2D7"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901" w:history="1">
            <w:r w:rsidRPr="005B277D">
              <w:rPr>
                <w:rStyle w:val="Hyperlink"/>
                <w:noProof/>
              </w:rPr>
              <w:t>Grüne Oasen in der Stadt</w:t>
            </w:r>
            <w:r>
              <w:rPr>
                <w:noProof/>
                <w:webHidden/>
              </w:rPr>
              <w:tab/>
            </w:r>
            <w:r>
              <w:rPr>
                <w:noProof/>
                <w:webHidden/>
              </w:rPr>
              <w:fldChar w:fldCharType="begin"/>
            </w:r>
            <w:r>
              <w:rPr>
                <w:noProof/>
                <w:webHidden/>
              </w:rPr>
              <w:instrText xml:space="preserve"> PAGEREF _Toc226531901 \h </w:instrText>
            </w:r>
            <w:r>
              <w:rPr>
                <w:noProof/>
                <w:webHidden/>
              </w:rPr>
            </w:r>
            <w:r>
              <w:rPr>
                <w:noProof/>
                <w:webHidden/>
              </w:rPr>
              <w:fldChar w:fldCharType="separate"/>
            </w:r>
            <w:r>
              <w:rPr>
                <w:noProof/>
                <w:webHidden/>
              </w:rPr>
              <w:t>49</w:t>
            </w:r>
            <w:r>
              <w:rPr>
                <w:noProof/>
                <w:webHidden/>
              </w:rPr>
              <w:fldChar w:fldCharType="end"/>
            </w:r>
          </w:hyperlink>
        </w:p>
        <w:p w14:paraId="4DDD62BC" w14:textId="77777777" w:rsidR="00EE25F7" w:rsidRDefault="00EE25F7">
          <w:pPr>
            <w:pStyle w:val="Verzeichnis1"/>
            <w:tabs>
              <w:tab w:val="right" w:leader="dot" w:pos="9062"/>
            </w:tabs>
            <w:rPr>
              <w:rFonts w:asciiTheme="minorHAnsi" w:eastAsiaTheme="minorEastAsia" w:hAnsiTheme="minorHAnsi" w:cstheme="minorBidi"/>
              <w:noProof/>
              <w:lang w:eastAsia="de-DE"/>
            </w:rPr>
          </w:pPr>
          <w:hyperlink w:anchor="_Toc226531902" w:history="1">
            <w:r w:rsidRPr="005B277D">
              <w:rPr>
                <w:rStyle w:val="Hyperlink"/>
                <w:noProof/>
              </w:rPr>
              <w:t>Künstler mit klarer Kante</w:t>
            </w:r>
            <w:r>
              <w:rPr>
                <w:noProof/>
                <w:webHidden/>
              </w:rPr>
              <w:tab/>
            </w:r>
            <w:r>
              <w:rPr>
                <w:noProof/>
                <w:webHidden/>
              </w:rPr>
              <w:fldChar w:fldCharType="begin"/>
            </w:r>
            <w:r>
              <w:rPr>
                <w:noProof/>
                <w:webHidden/>
              </w:rPr>
              <w:instrText xml:space="preserve"> PAGEREF _Toc226531902 \h </w:instrText>
            </w:r>
            <w:r>
              <w:rPr>
                <w:noProof/>
                <w:webHidden/>
              </w:rPr>
            </w:r>
            <w:r>
              <w:rPr>
                <w:noProof/>
                <w:webHidden/>
              </w:rPr>
              <w:fldChar w:fldCharType="separate"/>
            </w:r>
            <w:r>
              <w:rPr>
                <w:noProof/>
                <w:webHidden/>
              </w:rPr>
              <w:t>51</w:t>
            </w:r>
            <w:r>
              <w:rPr>
                <w:noProof/>
                <w:webHidden/>
              </w:rPr>
              <w:fldChar w:fldCharType="end"/>
            </w:r>
          </w:hyperlink>
        </w:p>
        <w:p w14:paraId="41219BB7" w14:textId="77777777" w:rsidR="009A4B15" w:rsidRPr="009A4B15" w:rsidRDefault="00AA6B2B" w:rsidP="009A4B15">
          <w:pPr>
            <w:rPr>
              <w:b/>
            </w:rPr>
          </w:pPr>
          <w:r>
            <w:rPr>
              <w:b/>
              <w:bCs/>
              <w:noProof/>
            </w:rPr>
            <w:fldChar w:fldCharType="end"/>
          </w:r>
        </w:p>
      </w:sdtContent>
    </w:sdt>
    <w:p w14:paraId="415F9804" w14:textId="77777777" w:rsidR="00B125A8" w:rsidRDefault="00EE25F7">
      <w:pPr>
        <w:pStyle w:val="berschrift1"/>
      </w:pPr>
      <w:bookmarkStart w:id="0" w:name="_Toc226531860"/>
      <w:r>
        <w:t>20 Millionen Stimmen für den Sozialstaat</w:t>
      </w:r>
      <w:bookmarkEnd w:id="0"/>
      <w:r>
        <w:t xml:space="preserve"> </w:t>
      </w:r>
    </w:p>
    <w:p w14:paraId="0B57B7CF" w14:textId="77777777" w:rsidR="00B125A8" w:rsidRDefault="00EE25F7">
      <w:pPr>
        <w:pStyle w:val="Standard-Fett"/>
      </w:pPr>
      <w:r>
        <w:t>Der Sozialverband VdK initiiert breites Bündnis mit 13 Organisationen aus der Zivilgesellschaft</w:t>
      </w:r>
    </w:p>
    <w:p w14:paraId="3F333852" w14:textId="77777777" w:rsidR="00B125A8" w:rsidRDefault="00EE25F7">
      <w:pPr>
        <w:pStyle w:val="Vorspann"/>
      </w:pPr>
      <w:r>
        <w:t>Der Sozialverband VdK hat ein Bündnis für den Kampf für einen starken Sozialstaat in</w:t>
      </w:r>
      <w:r>
        <w:t>s Leben gerufen. Zu diesem gehören insgesamt 14 Organisationen wie Gewerkschaften, Wohlfahrts-, Sozial- und Umweltverbände. Es vertritt mehr als 20 Millionen Menschen. Darunter sind Mitglieder, Ehrenamtliche, Ratsuchende sowie Mitarbeiterinnen und Mitarbei</w:t>
      </w:r>
      <w:r>
        <w:t xml:space="preserve">ter der jeweiligen Organisationen. </w:t>
      </w:r>
    </w:p>
    <w:p w14:paraId="2B047D81" w14:textId="77777777" w:rsidR="00B125A8" w:rsidRDefault="00EE25F7">
      <w:r>
        <w:t>VdK-Präsidentin Verena Bentele kritisierte eine „zunehmende Schieflage“ in der aktuellen politischen Debatte, in der soziale Leistungen als unfinanzierbar und als reiner Kostenfaktor dargestellt würden. Sie sagte bei der</w:t>
      </w:r>
      <w:r>
        <w:t xml:space="preserve"> Auftaktveranstaltung Mitte März in Berlin: „Wir verteidigen den Sozialstaat gegen eine zunehmende und gefährliche Verleumdung. Denn wer diesen Sozialstaat diskreditiert, ihn als zu teuer, zu wenig leistungsfähig und als verzichtbar darstellt, der nimmt ei</w:t>
      </w:r>
      <w:r>
        <w:t xml:space="preserve">nem ganzen Land Stabilität und Sicherheit.“ </w:t>
      </w:r>
    </w:p>
    <w:p w14:paraId="664F7DED" w14:textId="77777777" w:rsidR="00B125A8" w:rsidRDefault="00EE25F7">
      <w:r>
        <w:lastRenderedPageBreak/>
        <w:t xml:space="preserve">Bentele betonte: „Der Sozialstaat stärkt nicht nur den Zusammenhalt unserer Gesellschaft, sondern auch unsere Wirtschaft.  Zu wissen, dass Lebensrisiken durch die Gemeinschaft abgesichert sind, gibt den </w:t>
      </w:r>
      <w:r>
        <w:t>Menschen im Land Sicherheit und Vertrauen.“</w:t>
      </w:r>
    </w:p>
    <w:p w14:paraId="129ED28E" w14:textId="77777777" w:rsidR="00B125A8" w:rsidRDefault="00EE25F7">
      <w:r>
        <w:t>Auf dem Podium der Auftaktveranstaltung saßen neben VdK-Präsidentin Verena Bentele auch Frank Werneke, Vorsitzender der Gewerkschaft Verdi, Eva Maria Welskop-Deffaa, Präsidentin des Deutschen Caritasverbands, sow</w:t>
      </w:r>
      <w:r>
        <w:t>ie Verena Graichen, politische Geschäftsführerin beim Bund für Umwelt und Naturschutz (BUND).</w:t>
      </w:r>
    </w:p>
    <w:p w14:paraId="720042D0" w14:textId="77777777" w:rsidR="00B125A8" w:rsidRDefault="00EE25F7">
      <w:r>
        <w:t>Alle Sprecherinnen und Sprecher warnten die Bundesregierung davor, gegen den Willen von großen Teilen der Bevölkerung radikale Einsparungen beim Sozialstaat und s</w:t>
      </w:r>
      <w:r>
        <w:t>einen Leistungen zu planen.</w:t>
      </w:r>
    </w:p>
    <w:p w14:paraId="0F100C5E" w14:textId="77777777" w:rsidR="00B125A8" w:rsidRDefault="00EE25F7">
      <w:r>
        <w:t>Laut einer von dem Bündnis in Auftrag gegebenen repräsentativen Umfrage des Meinungsforschungsinstituts YouGov sind 79 Prozent der Deutschen der Überzeugung, dass ein leistungsfähiger Sozialstaat den Zusammenhalt in der Gesellsc</w:t>
      </w:r>
      <w:r>
        <w:t xml:space="preserve">haft verbessert. 73 Prozent sprachen sich ferner dafür aus, Menschen mit sehr hohen Vermögen stärker zur Finanzierung des Sozialstaats heranzuziehen. </w:t>
      </w:r>
    </w:p>
    <w:p w14:paraId="75B72DB7" w14:textId="77777777" w:rsidR="00B125A8" w:rsidRDefault="00EE25F7">
      <w:r>
        <w:t>Mehr als die Hälfte der Befragten zeigte sich zur Zahlung höherer Rentenbeiträge bereit, wenn sich dadurc</w:t>
      </w:r>
      <w:r>
        <w:t>h ihre Rentenzahlungen im Alter erhöhten. 77 Prozent der Befragten wollen eine Gleichbehandlung von privat und gesetzlich Versicherten. 95 Prozent der Befragten halten eine menschenwürdige, stationäre und ambulante Pflegeversorgung für notwendig, die gleic</w:t>
      </w:r>
      <w:r>
        <w:t xml:space="preserve">hzeitig niemanden finanziell überfordere. </w:t>
      </w:r>
    </w:p>
    <w:p w14:paraId="0F61AED5" w14:textId="77777777" w:rsidR="00B125A8" w:rsidRDefault="00EE25F7">
      <w:r>
        <w:t>Neben Caritas, BUND und Verdi gehören folgende Organisationen zum Bündnis: der Deutsche Gewerkschaftsbund (DGB), die IG Metall, der Paritätische Gesamtverband, die Diakonie Deutschland, die Zentrale Wohlfahrtsstel</w:t>
      </w:r>
      <w:r>
        <w:t>le der Juden, die Volkssolidarität, der Sozialverband Deutschland (SoVD), der Arbeiter-Samariter- Bund (ASB), die Arbeiterwohlfahrt (AWO) sowie der Deutsche Mieterbund. Die von der Bundesregierung eingesetzten Kommissionen zur Reform der Sozialversicherung</w:t>
      </w:r>
      <w:r>
        <w:t xml:space="preserve">en machen in diesem Jahr konkrete Vorschläge. Falls die Bundesregierung dies zum Anlass für Sparprogramme nimmt, werde das Bündnis gemeinsam aktiv und laut dagegen protestieren, bekräftigte Bentele.  </w:t>
      </w:r>
      <w:r>
        <w:rPr>
          <w:b/>
        </w:rPr>
        <w:t>Julia Frediani</w:t>
      </w:r>
    </w:p>
    <w:p w14:paraId="317CE3D7" w14:textId="77777777" w:rsidR="00B125A8" w:rsidRDefault="00EE25F7">
      <w:pPr>
        <w:pStyle w:val="berschrift1"/>
      </w:pPr>
      <w:bookmarkStart w:id="1" w:name="_Toc226531861"/>
      <w:r>
        <w:t>Rentenerhöhung nur eine Maßnahme unter vi</w:t>
      </w:r>
      <w:r>
        <w:t>elen</w:t>
      </w:r>
      <w:bookmarkEnd w:id="1"/>
    </w:p>
    <w:p w14:paraId="1F3D8D5E" w14:textId="77777777" w:rsidR="00B125A8" w:rsidRDefault="00EE25F7">
      <w:pPr>
        <w:pStyle w:val="Standard-Fett"/>
      </w:pPr>
      <w:r>
        <w:t>VdK-Präsidentin Verena Bentele: „Das Mindestrentenniveau von 48 Prozent zeigt seine Wirkung“</w:t>
      </w:r>
    </w:p>
    <w:p w14:paraId="176515F5" w14:textId="77777777" w:rsidR="00B125A8" w:rsidRDefault="00EE25F7">
      <w:pPr>
        <w:pStyle w:val="Vorspann"/>
      </w:pPr>
      <w:r>
        <w:t xml:space="preserve">Die Renten werden zum 1. Juli um 4,24 Prozent angepasst. Das hat das Bundesarbeits- und Sozialministerium Anfang März bekannt gegeben. </w:t>
      </w:r>
    </w:p>
    <w:p w14:paraId="1C08246F" w14:textId="77777777" w:rsidR="00B125A8" w:rsidRDefault="00EE25F7">
      <w:r>
        <w:lastRenderedPageBreak/>
        <w:t>In unsicheren wirtscha</w:t>
      </w:r>
      <w:r>
        <w:t>ftlichen Zeiten und angesichts des realen Kaufkraftverlusts in den vergangenen Jahren fordert der Sozialverband VdK, dass diese Erhöhung nur eine von mehreren  Maßnahmen zur Stärkung der Renten sein kann. VdK-Präsidentin Verena Bentele sagt: „Das aktuell n</w:t>
      </w:r>
      <w:r>
        <w:t>ur bis zum Jahr 2031 festgeschriebene Mindestrentenniveau von 48 Prozent zeigt seine Wirkung. Nur mit diesem gesetzlich fixierten Leistungsziel schaffen wir es, dass die Renten eng an die Löhne gekoppelt sind und nicht von steigenden Mieten, Lebensmittelpr</w:t>
      </w:r>
      <w:r>
        <w:t xml:space="preserve">eisen und Energiepreisen aufgefressen werden.“ </w:t>
      </w:r>
    </w:p>
    <w:p w14:paraId="7F6A7449" w14:textId="77777777" w:rsidR="00B125A8" w:rsidRDefault="00EE25F7">
      <w:r>
        <w:t xml:space="preserve">Im Juni werden die Ergebnisse der von der Bundesregierung einberufenen Rentenkommission erwartet. Bentele fordert: „Die Kommission muss unbedingt tragfähige Vorschläge vorlegen, wie das Rentenniveau über das </w:t>
      </w:r>
      <w:r>
        <w:t>Jahr 2031 hinaus dauerhaft stabilisiert werden kann.“</w:t>
      </w:r>
    </w:p>
    <w:p w14:paraId="31FC1D0A" w14:textId="77777777" w:rsidR="00B125A8" w:rsidRDefault="00EE25F7">
      <w:r>
        <w:t>Dazu muss die Rentenfinanzierung auf eine solidere Basis gestellt werden. Bentele sagt: „Langfristig stabile Renten erfordern gute Löhne, mehr Beschäftigung und gesunde Arbeit bis zur Regelaltersgrenze.</w:t>
      </w:r>
      <w:r>
        <w:t xml:space="preserve"> Gefragt sind flexible Arbeitszeitmodelle, Weiterbildung für ältere Beschäftigte sowie mehr betriebliche Gesundheitsprävention und mehr Reha- Angebote.“ Besonderes Augenmerk legt der VdK auf das weibliche Potenzial im Arbeitsmarkt: „Es muss gelingen, pfleg</w:t>
      </w:r>
      <w:r>
        <w:t>ende Frauen und Mütter aus der Teilzeitfalle zu holen. Es braucht bessere  Angebote in der Kinderbetreuung und in der Pflege, die Abschaffung des Ehegattensplittings und Anreize für Männer, sich stärker an der Sorgearbeit zu beteiligen – um die Rente langf</w:t>
      </w:r>
      <w:r>
        <w:t xml:space="preserve">ristig zu finanzieren und Alters-armut von Frauen zu verhindern.“  </w:t>
      </w:r>
      <w:r>
        <w:rPr>
          <w:b/>
        </w:rPr>
        <w:t>Julia Frediani</w:t>
      </w:r>
    </w:p>
    <w:p w14:paraId="0D6DAB1A" w14:textId="77777777" w:rsidR="00B125A8" w:rsidRDefault="00EE25F7">
      <w:pPr>
        <w:pStyle w:val="berschrift1"/>
      </w:pPr>
      <w:bookmarkStart w:id="2" w:name="_Toc226531863"/>
      <w:r>
        <w:t>Rentenpolitik beginnt auf dem Arbeitsmarkt</w:t>
      </w:r>
      <w:bookmarkEnd w:id="2"/>
    </w:p>
    <w:p w14:paraId="4349B1A1" w14:textId="77777777" w:rsidR="00B125A8" w:rsidRDefault="00EE25F7">
      <w:pPr>
        <w:pStyle w:val="Standard-Fett"/>
      </w:pPr>
      <w:r>
        <w:t>Sozialverband VdK: Vorschläge für mehr Beschäftigung statt weniger Rente</w:t>
      </w:r>
    </w:p>
    <w:p w14:paraId="7D303544" w14:textId="77777777" w:rsidR="00B125A8" w:rsidRDefault="00EE25F7">
      <w:pPr>
        <w:pStyle w:val="Vorspann"/>
      </w:pPr>
      <w:r>
        <w:lastRenderedPageBreak/>
        <w:t>Die Probleme bei der Fi</w:t>
      </w:r>
      <w:r>
        <w:t xml:space="preserve">nanzierung der gesetzlichen Rente gelten oft als Folge des demografischen Wandels. Doch der deutsche Arbeitsmarkt bietet noch erhebliche ungenutzte Potenziale, die mehr Beschäftigung und zusätzliche Beiträge für die Rentenversicherung ermöglichen würden. </w:t>
      </w:r>
    </w:p>
    <w:p w14:paraId="3D78725B" w14:textId="77777777" w:rsidR="00B125A8" w:rsidRDefault="00EE25F7">
      <w:r>
        <w:t>Der Sozialverband VdK hat mit der Nichtregierungsorganisation Fiscal Future Vorschläge erarbeitet, wie die Quote sozialversicherungspflichtiger Beschäftigung erhöht werden kann. Ein Ansatzpunkt sind familienfreundlichere Arbeitszeiten. In den vergangenen 1</w:t>
      </w:r>
      <w:r>
        <w:t>5 Jahren ist die erwerbsfähige Bevölkerung um zwölf Prozent gewachsen, die geleisteten Arbeitsstunden jedoch nur um sechs Prozent. Der Beschäftigungszuwachs entstand vor allem durch Teilzeitjobs von Frauen und Älteren, die oft zusätzlich unbezahlte Care- A</w:t>
      </w:r>
      <w:r>
        <w:t>rbeit leisten. Gleichzeitig zeigen Befragungen klare Wünsche: Mütter mit schulpflichtigen Kindern würden gerne mehr arbeiten, während Väter jüngerer Kinder ihre Arbeitszeit reduzieren möchten.</w:t>
      </w:r>
    </w:p>
    <w:p w14:paraId="50C7E240" w14:textId="77777777" w:rsidR="00B125A8" w:rsidRDefault="00EE25F7">
      <w:pPr>
        <w:pStyle w:val="Zwischentitel"/>
      </w:pPr>
      <w:r>
        <w:t>Kita und Care-Arbeit</w:t>
      </w:r>
    </w:p>
    <w:p w14:paraId="1F3F9F3F" w14:textId="77777777" w:rsidR="00B125A8" w:rsidRDefault="00EE25F7">
      <w:r>
        <w:t xml:space="preserve">Würden Arbeitszeiten stärker an diese </w:t>
      </w:r>
      <w:r>
        <w:t>Präferenzen angepasst, könnten den Berechnungen zufolge 325 000 zusätzlichen Vollzeitstellen entstehen. Voraussetzung dafür sind flexible Arbeitszeitmodelle, mehr Kita-Plätze und eine partnerschaftlichere Verteilung von Care-Arbeit. Auch steuerliche Anreiz</w:t>
      </w:r>
      <w:r>
        <w:t>e wie das Ehegattensplitting oder Minijobs bremsen bislang eine höhere Erwerbsbeteiligung – ihre Reform könnte rund 200 000 weitere Vollzeitstellen schaffen.</w:t>
      </w:r>
    </w:p>
    <w:p w14:paraId="66CD003D" w14:textId="77777777" w:rsidR="00B125A8" w:rsidRDefault="00EE25F7">
      <w:r>
        <w:t>Potenzial sehen der VdK und Fiscal Future in der Beschäftigung Älterer. Seit 2005 ist die Erwerbsq</w:t>
      </w:r>
      <w:r>
        <w:t xml:space="preserve">uote der 55- bis 64-Jährigen von 45 auf 75 Prozent gestiegen. Durch Weiterbildung, flexible Arbeitszeitmodelle und Gesundheitsförderung könnte dieser Anteil weiter erhöht werden. Auch Migration stabilisiert zunehmend die Rentenversicherung. Der Anteil der </w:t>
      </w:r>
      <w:r>
        <w:t>Versicherten ohne deutschen Pass hat sich in zehn Jahren von elf auf 21 Prozent erhöht. Entscheidend sind Sprachförderung und Weiterbildung, damit Zugewanderte schnell Beschäftigung finden.</w:t>
      </w:r>
    </w:p>
    <w:p w14:paraId="618F0185" w14:textId="77777777" w:rsidR="00B125A8" w:rsidRDefault="00EE25F7">
      <w:r>
        <w:t>Weitere Hebel liegen in höheren Löhnen, stärkerer Tarifbindung und</w:t>
      </w:r>
      <w:r>
        <w:t xml:space="preserve"> besserer Integration von Menschen mit Behinderung in den Arbeitsmarkt sowie dem Ausbau von Reha-Maßnahmen zu Vorbeugung von Erwerbsminderungsrenten.</w:t>
      </w:r>
    </w:p>
    <w:p w14:paraId="463A3198" w14:textId="77777777" w:rsidR="00B125A8" w:rsidRDefault="00EE25F7">
      <w:pPr>
        <w:pStyle w:val="Zwischentitel"/>
      </w:pPr>
      <w:r>
        <w:t>Milliardenplus möglich</w:t>
      </w:r>
    </w:p>
    <w:p w14:paraId="418D6BBC" w14:textId="77777777" w:rsidR="00B125A8" w:rsidRDefault="00EE25F7">
      <w:r>
        <w:t xml:space="preserve">Studien zeigen, dass sich das Arbeitsvolumen bis 2035 trotz demografischen Wandels </w:t>
      </w:r>
      <w:r>
        <w:t xml:space="preserve">stabilisieren ließe, wenn mehr Frauen und Ältere arbeiten und jährlich etwa 330 000 Menschen netto zuwandern. Das könnte der Rentenversicherung zusätzliche Einnahmen von 23 bis 33 Milliarden Euro pro Jahr bringen.  </w:t>
      </w:r>
      <w:r>
        <w:rPr>
          <w:b/>
        </w:rPr>
        <w:t>Jörg Ciszewski</w:t>
      </w:r>
    </w:p>
    <w:p w14:paraId="696AEB21" w14:textId="77777777" w:rsidR="00B125A8" w:rsidRDefault="00EE25F7">
      <w:pPr>
        <w:pStyle w:val="berschrift1"/>
      </w:pPr>
      <w:bookmarkStart w:id="3" w:name="_Toc226531864"/>
      <w:r>
        <w:lastRenderedPageBreak/>
        <w:t>Mangelhafte Absicherung fü</w:t>
      </w:r>
      <w:r>
        <w:t>r Landwirtinnen</w:t>
      </w:r>
      <w:bookmarkEnd w:id="3"/>
    </w:p>
    <w:p w14:paraId="45CB370A" w14:textId="77777777" w:rsidR="00B125A8" w:rsidRDefault="00EE25F7">
      <w:pPr>
        <w:pStyle w:val="Standard-Fett"/>
      </w:pPr>
      <w:r>
        <w:t>Sozialverband VdK klagt vor Sozialgerichten für bessere Altersversorgung</w:t>
      </w:r>
    </w:p>
    <w:p w14:paraId="200B639C" w14:textId="77777777" w:rsidR="00B125A8" w:rsidRDefault="00EE25F7">
      <w:pPr>
        <w:pStyle w:val="Vorspann"/>
      </w:pPr>
      <w:r>
        <w:t>Der Sozialverband VdK sieht eine Ungleichbehandlung von Beschäftigten in der Landwirtschaft durch die gesetzliche Rentenversicherung. Frauen sind davon in besonderer W</w:t>
      </w:r>
      <w:r>
        <w:t xml:space="preserve">eise betroffen. </w:t>
      </w:r>
    </w:p>
    <w:p w14:paraId="6FF91D81" w14:textId="77777777" w:rsidR="00B125A8" w:rsidRDefault="00EE25F7">
      <w:r>
        <w:t xml:space="preserve">Bei der Altersversorgung von Beschäftigten, die in der Landwirtschaft gearbeitet haben, gibt es eklatante Lücken. Besonders gravierend sind sie, wenn jemand für einige Zeit in landwirtschaftlichen Betrieben, zeitweise aber auch in anderen </w:t>
      </w:r>
      <w:r>
        <w:t xml:space="preserve">Angestelltenverhältnissen gearbeitet hat. Solche nicht geradlinigen Erwerbsbiografien können dazu führen, dass nur sehr geringe Rentenansprüche entstehen. </w:t>
      </w:r>
    </w:p>
    <w:p w14:paraId="42EDC2CB" w14:textId="77777777" w:rsidR="00B125A8" w:rsidRDefault="00EE25F7">
      <w:r>
        <w:t>Grund dafür ist, dass die gesetzliche Rentenversicherung Beiträge, die zuvor für die Alterssicherung</w:t>
      </w:r>
      <w:r>
        <w:t xml:space="preserve"> der Landwirte (AdL) geleistet worden sind, nicht anerkennt. Auf der anderen Seite werden jedoch Beitragszeiten, die in die gesetzliche Rentenversicherung eingezahlt werden, bei der AdL angerechnet.</w:t>
      </w:r>
    </w:p>
    <w:p w14:paraId="3656B300" w14:textId="77777777" w:rsidR="00B125A8" w:rsidRDefault="00EE25F7">
      <w:r>
        <w:t>Die zwei Altersversorgungssysteme sind grundlegend unters</w:t>
      </w:r>
      <w:r>
        <w:t xml:space="preserve">chiedlich: Die AdL soll gar nicht wie eine Rente für den Lebensunterhalt aufkommen, sondern versteht sich als Teilabsicherung in dem klassischen Generationensystem der Landwirtschaft. Dieses sieht vor, dass die nächste Generation den Hof übernimmt und der </w:t>
      </w:r>
      <w:r>
        <w:t xml:space="preserve">vorherigen etwa das Wohnrecht überließ. Solche klassischen Situationen sind jedoch wegen Hofaufgaben und Umstrukturierungen in der Landwirtschaft heute längst nicht mehr die Regel. </w:t>
      </w:r>
    </w:p>
    <w:p w14:paraId="371DC4E4" w14:textId="77777777" w:rsidR="00B125A8" w:rsidRDefault="00EE25F7">
      <w:pPr>
        <w:pStyle w:val="Zwischentitel"/>
      </w:pPr>
      <w:r>
        <w:t>Nicht mehr zeitgemäß</w:t>
      </w:r>
    </w:p>
    <w:p w14:paraId="0C173A05" w14:textId="77777777" w:rsidR="00B125A8" w:rsidRDefault="00EE25F7">
      <w:r>
        <w:t>Der VdK sieht vor diesem Hintergrund Handlungsbedarf.</w:t>
      </w:r>
      <w:r>
        <w:t xml:space="preserve"> Die Ungleichbehandlung von Wartezeiten in der gesetzlichen Rentenversicherung und der AdL trägt dazu bei, dass sich geschlechtsspezifische Ungerechtigkeiten verfestigen. Denn Frauen sind besonders davon betroffen, weil sie häufiger nicht ihr ganzes Erwerb</w:t>
      </w:r>
      <w:r>
        <w:t>sleben in der Landwirtschaft verbleiben. Sie heiraten zum Beispiel in landwirtschaftliche Betriebe ein und trennen sich gegebenenfalls später wieder. Sie wechseln von der selbstständigen in die abhängige Beschäftigung, unterbrechen ihre Tätigkeit oder redu</w:t>
      </w:r>
      <w:r>
        <w:t>zieren Arbeitsstunden, weil sie Angehörige pflegen. Erhalten sie eine gesetzliche Rente, schlagen darin dann die geleisteten Beiträge für die AdL nicht zu Buche. Den VdK haben Zuschriften von Frauen erreicht, die lange in der Landwirtschaft gearbeitet habe</w:t>
      </w:r>
      <w:r>
        <w:t xml:space="preserve">n und heute mit ihrer Rente unter dem Existenzminimum leben. </w:t>
      </w:r>
    </w:p>
    <w:p w14:paraId="72198776" w14:textId="77777777" w:rsidR="00B125A8" w:rsidRDefault="00EE25F7">
      <w:r>
        <w:t xml:space="preserve">Mit seiner Klage setzt sich der VdK dafür ein, dass Beitragszeiten in der AdL bei der gesetzlichen Rente berücksichtigt werden. Mehrere Verfahren sind derzeit an Sozialgerichten anhängig, </w:t>
      </w:r>
      <w:r>
        <w:lastRenderedPageBreak/>
        <w:t>einige</w:t>
      </w:r>
      <w:r>
        <w:t xml:space="preserve"> sogar schon am Landessozialgericht Bayern. Für eine endgültige Entscheidung ist der VdK bereit, bis vor das Bundessozialgericht zu ziehen.  </w:t>
      </w:r>
      <w:r>
        <w:rPr>
          <w:b/>
        </w:rPr>
        <w:t>Jörg Ciszewski</w:t>
      </w:r>
    </w:p>
    <w:p w14:paraId="586EBC2B" w14:textId="77777777" w:rsidR="00B125A8" w:rsidRDefault="00EE25F7">
      <w:pPr>
        <w:pStyle w:val="berschrift1"/>
      </w:pPr>
      <w:bookmarkStart w:id="4" w:name="_Toc226531865"/>
      <w:r>
        <w:t>Reform verfehlt Ziele</w:t>
      </w:r>
      <w:bookmarkEnd w:id="4"/>
    </w:p>
    <w:p w14:paraId="2B3592AB" w14:textId="77777777" w:rsidR="00B125A8" w:rsidRDefault="00EE25F7">
      <w:pPr>
        <w:pStyle w:val="Standard-Fett"/>
      </w:pPr>
      <w:r>
        <w:t>Grundsicherung: Neuer Kurs trifft Familien hart</w:t>
      </w:r>
    </w:p>
    <w:p w14:paraId="414863D1" w14:textId="77777777" w:rsidR="00B125A8" w:rsidRDefault="00EE25F7">
      <w:pPr>
        <w:pStyle w:val="Vorspann"/>
      </w:pPr>
      <w:r>
        <w:t>38 Organisationen und Verbände</w:t>
      </w:r>
      <w:r>
        <w:t>, darunter der VdK, haben in einem offenen Brief an die Bundesregierung, Union und SPD die geplanten Verschärfungen in der Grundsicherung kritisiert. Das Bündnis erwartet verheerende Folgen gerade für Kinder und Jugendliche.</w:t>
      </w:r>
    </w:p>
    <w:p w14:paraId="112A1D86" w14:textId="77777777" w:rsidR="00B125A8" w:rsidRDefault="00EE25F7">
      <w:r>
        <w:t>Die Reform soll Bezieherinnen u</w:t>
      </w:r>
      <w:r>
        <w:t>nd Bezieher von Grundsicherung schneller in Arbeit bringen, die Zahl der Leistungsempfangenden senken und Kosten sparen. Sie soll auch das Vertrauen in den Sozialstaat wieder stärken. Doch die Reform erhöhe den Druck an der falschen Stelle, so das Bündnis.</w:t>
      </w:r>
      <w:r>
        <w:t xml:space="preserve"> </w:t>
      </w:r>
    </w:p>
    <w:p w14:paraId="17BB53EE" w14:textId="77777777" w:rsidR="00B125A8" w:rsidRDefault="00EE25F7">
      <w:r>
        <w:t>Nur 0,4 Prozent der Beziehenden von Grundsicherung sind nach Angaben des Bündnisses sogenannte Totalverweigerer. Jede dritte Bedarfsgemeinschaft ist eine Familie mit minderjährigen Kindern. Werden hier Leistungen gekürzt, sind die Kinder direkt betroffen</w:t>
      </w:r>
      <w:r>
        <w:t xml:space="preserve">. Geld für Lebensmittel und Kleidung fehlt, und es drohen instabile Wohnverhältnisse. </w:t>
      </w:r>
    </w:p>
    <w:p w14:paraId="088F986C" w14:textId="77777777" w:rsidR="00B125A8" w:rsidRDefault="00EE25F7">
      <w:r>
        <w:t>Deshalb fordert das Bündnis, auf Sanktionen zu verzichten, die Kinder mitbestrafen. Diese können – ebenso wenig wie Partnerinnen oder Partner – das Verhalten, das sankti</w:t>
      </w:r>
      <w:r>
        <w:t>oniert werden soll, beeinflussen.</w:t>
      </w:r>
    </w:p>
    <w:p w14:paraId="07D71B3D" w14:textId="77777777" w:rsidR="00B125A8" w:rsidRDefault="00EE25F7">
      <w:r>
        <w:t>Zudem spricht sich das Bündnis dafür aus, die Karenzzeit bei den Wohnkosten beizubehalten. Diese wurden bislang im ersten Jahr der Arbeitslosigkeit vollständig übernommen, damit sich Betroffene auf die Suche nach einer neu</w:t>
      </w:r>
      <w:r>
        <w:t>en Stelle konzentrieren konnten. Durch den Wegfall der Karenzzeit erhöht sich vor allem der Druck auf Alleinerziehende, kinderreiche und pflegende Familien sowie Familien mit Migrationshintergrund. Hier sind die Hürden auf dem angespannten Wohnungsmarkt be</w:t>
      </w:r>
      <w:r>
        <w:t>sonders hoch, kurz- oder mittelfristig eine bezahlbare Wohnung zu finden.</w:t>
      </w:r>
    </w:p>
    <w:p w14:paraId="623CA8E2" w14:textId="77777777" w:rsidR="00B125A8" w:rsidRDefault="00EE25F7">
      <w:r>
        <w:t>Das Bündnis macht sich auch dafür stark, dass die Regelbedarfe in der Grundsicherung neu berechnet werden. Sie bilden die Lebensrealitäten vieler Familien bislang nicht ausreichend a</w:t>
      </w:r>
      <w:r>
        <w:t xml:space="preserve">b. Hier braucht es eine konsistente, realitätsgerechte und am Kindeswohl orientierte Neuberechnung des Existenzminimums. </w:t>
      </w:r>
      <w:r>
        <w:rPr>
          <w:b/>
        </w:rPr>
        <w:t>ken</w:t>
      </w:r>
    </w:p>
    <w:p w14:paraId="2D572293" w14:textId="25126583" w:rsidR="00B125A8" w:rsidRDefault="00EE25F7">
      <w:pPr>
        <w:pStyle w:val="berschrift1"/>
      </w:pPr>
      <w:bookmarkStart w:id="5" w:name="_Toc226531866"/>
      <w:r>
        <w:t xml:space="preserve">Kommentar: </w:t>
      </w:r>
      <w:r>
        <w:t>Getrennte Kassen</w:t>
      </w:r>
      <w:bookmarkEnd w:id="5"/>
    </w:p>
    <w:p w14:paraId="02D63ADF" w14:textId="77777777" w:rsidR="00B125A8" w:rsidRDefault="00EE25F7">
      <w:r>
        <w:t>Stellen wir uns den kleinen Sportverein SV Schöndorf vor. Die Mitglieder zahlen Beiträge für Rasenpflege</w:t>
      </w:r>
      <w:r>
        <w:t>, Trikots und den Spielbetrieb. Eines Tages beschließt die Gemeinde, den Dorfplatz zu sanieren – und greift dafür in die Vereinskasse. Schließlich nutzen den Platz alle. Der Verein wird so zum Sponsor eines Orts – ohne, dass sein Logo gezeigt wird und Mitg</w:t>
      </w:r>
      <w:r>
        <w:t>lieder anderer Vereine etwas dazu beitragen. Für die Mitglieder des SV Schöndorf wäre das eine merkwürdige Logik. Genau dieses Prinzip findet sich jedoch häufig in den deutschen Sozialversicherungen.</w:t>
      </w:r>
    </w:p>
    <w:p w14:paraId="6F9D2BD7" w14:textId="77777777" w:rsidR="00B125A8" w:rsidRDefault="00EE25F7">
      <w:r>
        <w:t>Eigentlich funktionieren sie simpel und wirkungsvoll: Be</w:t>
      </w:r>
      <w:r>
        <w:t>schäftigte zahlen Beiträge und erhalten im Gegenzug Leistungen wie medizinische Versorgung oder später eine Rente. In der Praxis finanzieren Sozialversicherungen jedoch auch Aufgaben, die der gesamten Gesellschaft zugutekommen.</w:t>
      </w:r>
    </w:p>
    <w:p w14:paraId="7BA7C519" w14:textId="77777777" w:rsidR="00B125A8" w:rsidRDefault="00EE25F7">
      <w:r>
        <w:t>Schauen wir auf die Krankenh</w:t>
      </w:r>
      <w:r>
        <w:t>ausreform. Ursprünglich sollten die Kosten von 50 Milliarden Euro je zur Hälfte von den Bundesländern und der gesetzlichen Krankenversicherung getragen werden. Damit hätten vor allem Beschäftigte mit mittleren Einkommen eine Reform bezahlt, von der alle pr</w:t>
      </w:r>
      <w:r>
        <w:t xml:space="preserve">ofitieren – auch Privatversicherte. Der VdK klagte gegen diese ungerechte Finanzierung. Der Bundestag beschloss schließlich, die Reform aus Steuergeldern von Bund und Ländern zu bezahlen. </w:t>
      </w:r>
    </w:p>
    <w:p w14:paraId="6E4159DF" w14:textId="77777777" w:rsidR="00B125A8" w:rsidRDefault="00EE25F7">
      <w:r>
        <w:t xml:space="preserve">Diese Entscheidung sollte Vorbild sein für alle </w:t>
      </w:r>
      <w:r>
        <w:t>gesamtgesellschaftlichen Aufgaben, die noch über die Sozialversicherungen finanziert werden. Denn nicht nur im Gesundheitsbereich, auch in Pflege und Rente zahlen Beitragszahlende zu Unrecht für Leistungen, von denen alle profitieren. Privatversicherte ode</w:t>
      </w:r>
      <w:r>
        <w:t>r Personen in anderen Versorgungssystemen beteiligen sich dagegen kaum.</w:t>
      </w:r>
    </w:p>
    <w:p w14:paraId="5C21C1B6" w14:textId="7E5A3A08" w:rsidR="00B125A8" w:rsidRDefault="00EE25F7">
      <w:r>
        <w:t xml:space="preserve">Die Folge ist, dass die Lücken in den Sozialversicherungen wachsen und deren Finanzierung in Schieflage gerät. Sie werden schleichend zu einem Schattenhaushalt des Staates. Die </w:t>
      </w:r>
      <w:r>
        <w:t xml:space="preserve">Regierung muss hier unbedingt für Klarheit sorgen: Was allen nützt, gehört in den Steuerhaushalt – nicht in die Beitragskasse. </w:t>
      </w:r>
      <w:r w:rsidRPr="00EE25F7">
        <w:rPr>
          <w:b/>
          <w:bCs/>
        </w:rPr>
        <w:t>Verena Bentele, VdK-Präsidentin</w:t>
      </w:r>
      <w:r>
        <w:t xml:space="preserve"> </w:t>
      </w:r>
    </w:p>
    <w:p w14:paraId="16114D25" w14:textId="77777777" w:rsidR="00B125A8" w:rsidRDefault="00EE25F7">
      <w:pPr>
        <w:pStyle w:val="berschrift1"/>
      </w:pPr>
      <w:bookmarkStart w:id="6" w:name="_Toc226531867"/>
      <w:r>
        <w:t>Mit viel Herz, Respekt und Tränen der Freude</w:t>
      </w:r>
      <w:bookmarkEnd w:id="6"/>
    </w:p>
    <w:p w14:paraId="30C938BE" w14:textId="77777777" w:rsidR="00B125A8" w:rsidRDefault="00EE25F7">
      <w:pPr>
        <w:pStyle w:val="Standard-Fett"/>
      </w:pPr>
      <w:r>
        <w:t>Bei den Paralympischen Winterspielen in Norditalien wurden nicht nur Medaillen, sond</w:t>
      </w:r>
      <w:r>
        <w:t>ern auch vierte Plätze bejubelt</w:t>
      </w:r>
    </w:p>
    <w:p w14:paraId="3292A29F" w14:textId="77777777" w:rsidR="00B125A8" w:rsidRDefault="00EE25F7">
      <w:pPr>
        <w:pStyle w:val="Vorspann"/>
      </w:pPr>
      <w:r>
        <w:lastRenderedPageBreak/>
        <w:t>Freude, Mitgefühl und Jubel – auch für die Letztplatzierten: Die Paralympischen Winterspiele in Mailand und Cortina zeichneten sich durch Menschlichkeit und Respekt aus. Die 611 Athletinnen und Athleten aus 55 Nationen boten</w:t>
      </w:r>
      <w:r>
        <w:t xml:space="preserve"> großen Sport, und die Herzlichkeit der italienischen Gastgeber ließ auch Mängel wie unfertige Bauprojekte vergessen.</w:t>
      </w:r>
    </w:p>
    <w:p w14:paraId="3E75802F" w14:textId="77777777" w:rsidR="00B125A8" w:rsidRDefault="00EE25F7">
      <w:r>
        <w:t xml:space="preserve">Perfetto? Nein, die Paralympics in Norditalien waren nicht perfekt, aber umso herzlicher. Die Einheimischen zeigten sich von ihrer besten </w:t>
      </w:r>
      <w:r>
        <w:t>Seite und gewannen mit Freundlichkeit und Fröhlichkeit die Sympathien der Gäste aus der ganzen Welt.</w:t>
      </w:r>
    </w:p>
    <w:p w14:paraId="3CC35D6C" w14:textId="77777777" w:rsidR="00B125A8" w:rsidRDefault="00EE25F7">
      <w:r>
        <w:t>Beispiel: Als zwei große Linienbusse, die die Besucherinnen und Besucher zu den Wettbewerben in Cortina d'Ampezzo brachten, sich in einer engen Kurve eines</w:t>
      </w:r>
      <w:r>
        <w:t xml:space="preserve"> Bergdorfs gegenseitig blockierten, fing die Fahrerin des einen Busses so herzhaft an zu lachen, dass alle Mitfahrenden gelassen blieben, schmunzelten oder auch lachten.</w:t>
      </w:r>
    </w:p>
    <w:p w14:paraId="2DE3C39D" w14:textId="77777777" w:rsidR="00B125A8" w:rsidRDefault="00EE25F7">
      <w:r>
        <w:t>Ein Fußgänger half spontan, winkte Autos zur Seite, sodass ein Bus zurücksetzen, und s</w:t>
      </w:r>
      <w:r>
        <w:t>chließlich alle weiterfahren konnten. Keiner ärgerte sich und dachte an die geplanten Umgehungsstraßen, die nicht rechtzeitig zu Olympia und den Paralympics fertig geworden sind und solche Situationen verhindert hätten.</w:t>
      </w:r>
    </w:p>
    <w:p w14:paraId="15D42D89" w14:textId="77777777" w:rsidR="00B125A8" w:rsidRDefault="00EE25F7">
      <w:r>
        <w:t>Von der Begeisterung über die zweite</w:t>
      </w:r>
      <w:r>
        <w:t>n Winterspiele zeugten die vielen Banner mit der Aufschrift „Cortina 1956 2026 Host City“ (Gastgeber), die fast an jedem Haus hingen. Dies spürten auch die Sportlerinnen und Sportler. Das Publikum freute sich über jede gute Leistung, wie über die der deuts</w:t>
      </w:r>
      <w:r>
        <w:t>chen Skifahrerin Andrea Rothfuss. Die 36-Jährige jubelte nach der Zieleinfahrt im Super-G so sehr über ihren vierten Platz, als ob sie gewonnen hätte. Noch vor wenigen Monaten schien für sie ein Start auf der Tofana bei Cortina undenkbar. Zwei Jahre lang l</w:t>
      </w:r>
      <w:r>
        <w:t>itt Rothfuss, der seit Geburt die linke Hand fehlt, unter Depressionen. Erst kurz vor den Spielen trainierte sie wieder, qualifizierte sich und feierte so einen großen Sieg – nicht im Wettbewerb mit den anderen Skifahrerinnen, sondern im Kampf gegen unsich</w:t>
      </w:r>
      <w:r>
        <w:t>tbare Gegner in ihrem Innern.</w:t>
      </w:r>
    </w:p>
    <w:p w14:paraId="07E3AFE6" w14:textId="77777777" w:rsidR="00B125A8" w:rsidRDefault="00EE25F7">
      <w:r>
        <w:t>„Den Super-G hatte ich ursprünglich nicht geplant“, sagte Rothfuss. „Das Rennen jetzt auf dem vierten Platz zu beenden, ist Wahnsinn. Das schien so lange weit weg – und ist mir so viel wert. Allein dabei zu sein, fühlt sich fü</w:t>
      </w:r>
      <w:r>
        <w:t>r mich schon an wie ein Medaillengewinn. Es ist überwältigend.“ Sie trat noch dreimal an und feierte jede einzelne Zieldurchfahrt, besonders Platz sieben im Slalom, bei ihrem letzten paralympischen Rennen. 14 Medaillen hatte sie bei den vergangenen fünf Wi</w:t>
      </w:r>
      <w:r>
        <w:t>nterspielen gewonnen, darunter einmal Gold. Die Teamführung wählte Rothfuss aufgrund ihrer beeindruckenden Karriere neben Christian Schmiedt, dem einzigen deutschen Para-Snowboarder bei den Spielen, zur Fahnenträgerin bei der Abschlussfeier. Vor Freude ver</w:t>
      </w:r>
      <w:r>
        <w:t>drückte Rothfuss ein paar Tränen.</w:t>
      </w:r>
    </w:p>
    <w:p w14:paraId="44DFB6D6" w14:textId="77777777" w:rsidR="00B125A8" w:rsidRDefault="00EE25F7">
      <w:r>
        <w:t>Monoskifahrerin Anna-Lena Forster gewann bei den Alpinwettbewerben zweimal Gold und einmal Silber und war damit erfolgreichste deutsche Teilnehmerin. Ihr Siegeslauf in der Abfahrt war ein wilder Ritt: Einmal flog sie weite</w:t>
      </w:r>
      <w:r>
        <w:t>r als geplant, schaffte gerade noch das nächste Tor und gewann knapp vor der Spanierin Audrey Pascual Seco. „Mal hat die eine fünf Hundertstel Vorsprung, mal die andere“, sagte die strahlende Forster und zollte ihrer Konkurrentin Respekt, auch als diese in</w:t>
      </w:r>
      <w:r>
        <w:t xml:space="preserve"> den anschließenden Rennen selbst zweimal als Erste durchs Ziel fuhr.</w:t>
      </w:r>
    </w:p>
    <w:p w14:paraId="557616FE" w14:textId="77777777" w:rsidR="00B125A8" w:rsidRDefault="00EE25F7">
      <w:r>
        <w:t>Für das deutsche Eishockeyteam war schon die Qualifikation für die Paralympics ein Riesenerfolg – ganz nach dem Motto „Dabei sein ist alles“. Nach 0:12 gegen China und 0:13 gegen den spä</w:t>
      </w:r>
      <w:r>
        <w:t xml:space="preserve">teren Goldmedaillengewinner USA feierten sie ihr erstes Tor in der Mailänder Eishalle </w:t>
      </w:r>
      <w:r>
        <w:lastRenderedPageBreak/>
        <w:t>im dritten Spiel gegen Italien enthusiastisch. Am Ende wurde das deutsche Team Sechster und ließ so immerhin zwei Mannschaften hinter sich.</w:t>
      </w:r>
    </w:p>
    <w:p w14:paraId="2E5CF3A7" w14:textId="77777777" w:rsidR="00B125A8" w:rsidRDefault="00EE25F7">
      <w:pPr>
        <w:pStyle w:val="Zwischentitel"/>
      </w:pPr>
      <w:r>
        <w:t>Vier Medaillen für Wicker</w:t>
      </w:r>
    </w:p>
    <w:p w14:paraId="3EFC1E4B" w14:textId="77777777" w:rsidR="00B125A8" w:rsidRDefault="00EE25F7">
      <w:r>
        <w:t xml:space="preserve">Die </w:t>
      </w:r>
      <w:r>
        <w:t>meisten Medaillen im deutschen Team gewannen die Langläuferinnen und Biathleten: 14 von insgesamt 17. Eine besondere Teamleistung erbrachte die Mixed-Staffel über viermal 2,5 Kilometer. Nur knapp hinter den Chinesen holten sie Silber. Erfolgreichste nordis</w:t>
      </w:r>
      <w:r>
        <w:t>che Sportlerin im Team D war die 34-jährige Anja Wicker, die im Biathlon und Langlauf in Tesero zwei Silber- und zwei Bronzemedaillen gewann.</w:t>
      </w:r>
    </w:p>
    <w:p w14:paraId="6922E7CE" w14:textId="77777777" w:rsidR="00B125A8" w:rsidRDefault="00EE25F7">
      <w:r>
        <w:t>Die Para-Athletinnen und -athleten begeisterten an allen Sportstätten. Beim Curling schoben sie die Steine aus dem</w:t>
      </w:r>
      <w:r>
        <w:t xml:space="preserve"> Rollstuhl heraus mit ihrem Stick so gefühlvoll über die mehr als 40 Meter lange Eisfläche, dass sie regelmäßig an der optimalen Stelle landeten – und das ganz ohne Besen. Die Snowboarder jagten den mit Wellen und Sprüngen gespickten Parcours so schnell he</w:t>
      </w:r>
      <w:r>
        <w:t>runter, dass der Laie keinen Unterschied zu den olympischen Wettbewerben drei Wochen zuvor feststellen konnte. Nur wenn unter der Hose eine Beinprothese herauslugte, war das ein Hinweis auf die Paralympics.</w:t>
      </w:r>
    </w:p>
    <w:p w14:paraId="7B23AB64" w14:textId="77777777" w:rsidR="00B125A8" w:rsidRDefault="00EE25F7">
      <w:r>
        <w:t>Zu Recht bekommen die deutschen Medaillengewinner</w:t>
      </w:r>
      <w:r>
        <w:t>innen und -gewinner bei den Paralympics seit einigen Jahren dieselben Prämiengelder wie die bei Olympia. Allerdings haben andere Nationen bei der Professionalisierung die Nase vorn. So gehen die deutschen Eishockeyspieler alle einem Beruf nach, während die</w:t>
      </w:r>
      <w:r>
        <w:t xml:space="preserve"> Mitglieder der besten Teams für ihren Sport bezahlt werden.</w:t>
      </w:r>
    </w:p>
    <w:p w14:paraId="22730833" w14:textId="77777777" w:rsidR="00B125A8" w:rsidRDefault="00EE25F7">
      <w:pPr>
        <w:pStyle w:val="Zwischentitel"/>
      </w:pPr>
      <w:r>
        <w:t>Positive Bilanz des DBS</w:t>
      </w:r>
    </w:p>
    <w:p w14:paraId="320E6385" w14:textId="77777777" w:rsidR="00B125A8" w:rsidRDefault="00EE25F7">
      <w:r>
        <w:t>Nach dem klassischen Medaillenspiegel, bei dem die Zahl der Goldmedaillen am relevantesten ist, erreichte Team D nur Platz elf – die schlechteste Bilanz in der 50-jährigen</w:t>
      </w:r>
      <w:r>
        <w:t xml:space="preserve"> Geschichte der Paralympics. Dennoch sagte Marc Möllmann, Vorstand Leistungssport im Deutschen Behindertensportverband (DBS): „Die Bilanz fällt positiv aus.“ Schließlich sei Deutschland, gemessen an der Zahl der Medaillen, Vierter.</w:t>
      </w:r>
    </w:p>
    <w:p w14:paraId="6D0CBABB" w14:textId="77777777" w:rsidR="00B125A8" w:rsidRDefault="00EE25F7">
      <w:r>
        <w:t>Idriss  Gonschinska, Vor</w:t>
      </w:r>
      <w:r>
        <w:t>standsvorsitzender des DBS, lobte ebenfalls die sportlichen Höchstleistungen, und von der Atmosphäre in Norditalien sei er „verzaubert“. Er sprach von „vielen herzlichen Begegnungen“, die er erlebt habe.</w:t>
      </w:r>
    </w:p>
    <w:p w14:paraId="1C649AD6" w14:textId="77777777" w:rsidR="00B125A8" w:rsidRDefault="00EE25F7">
      <w:r>
        <w:t>Der faire Umgang miteinander zeigte sich oft im Klei</w:t>
      </w:r>
      <w:r>
        <w:t>nen. Die Athletinnen und Athleten klatschten regelmäßig der Konkurrenz. Der US-amerikanische Curlingspieler Stephen Emt beispielsweise sagte mitten im Wettkampf einmal zu seinem lettischen Gegner: „Well done!“ (Gut gemacht).</w:t>
      </w:r>
    </w:p>
    <w:p w14:paraId="5A94C3CE" w14:textId="77777777" w:rsidR="00B125A8" w:rsidRDefault="00EE25F7">
      <w:r>
        <w:t>Für VdK-Mitglied Christoph Glöt</w:t>
      </w:r>
      <w:r>
        <w:t xml:space="preserve">zner waren es die zweiten Winterspiele. Der 22-jährige Oberpfälzer, der mit drei Jahren bei einem Unfall mit einem Rasenmäher-Traktor sein rechtes Bein verlor, war in seinen ersten beiden alpinen Skiwettbewerben, Super-Kombination und Riesenslalom, leider </w:t>
      </w:r>
      <w:r>
        <w:t>ausgeschieden. Daher jubelte er beim ebenfalls anspruchsvollen Slalom, der zusätzlich durch starken Nebel beeinflusst wurde, im Ziel über einen guten siebten Platz. „Leider konnte ich mein hochgestecktes Ziel einer Medaille nicht erreichen“, sagte Glötzner</w:t>
      </w:r>
      <w:r>
        <w:t>. Im Slalom habe er aber ein „solides Ergebnis“ und so erstmals eine Paralympics-Platzierung erzielt.</w:t>
      </w:r>
    </w:p>
    <w:p w14:paraId="18289B4B" w14:textId="77777777" w:rsidR="00B125A8" w:rsidRDefault="00EE25F7">
      <w:r>
        <w:lastRenderedPageBreak/>
        <w:t>Am meisten freute ihn, dass nach vier Winterspielen in Asien und Kanada diesmal wieder viele Fans aus der Heimat dabei waren: Eltern, Großeltern und viele</w:t>
      </w:r>
      <w:r>
        <w:t xml:space="preserve"> Freunde aus seinem oberpfälzischen Dorf Holzheim und von der Uni in Innsbruck. Die Tage in Cortina habe er „sehr genossen“, berichtete er. „Die Paralympics waren echt ein megacooles Erlebnis.“ </w:t>
      </w:r>
      <w:r>
        <w:rPr>
          <w:b/>
        </w:rPr>
        <w:t>Sebastian Heise</w:t>
      </w:r>
    </w:p>
    <w:p w14:paraId="68DA3D79" w14:textId="77777777" w:rsidR="00B125A8" w:rsidRDefault="00EE25F7">
      <w:pPr>
        <w:pStyle w:val="berschrift1"/>
      </w:pPr>
      <w:bookmarkStart w:id="7" w:name="_Toc226531868"/>
      <w:r>
        <w:t>Nachhaltig heizen, dauerhaft sparen</w:t>
      </w:r>
      <w:bookmarkEnd w:id="7"/>
    </w:p>
    <w:p w14:paraId="177531C3" w14:textId="77777777" w:rsidR="00B125A8" w:rsidRDefault="00EE25F7">
      <w:pPr>
        <w:pStyle w:val="Standard-Fett"/>
      </w:pPr>
      <w:r>
        <w:t>Gebäudemod</w:t>
      </w:r>
      <w:r>
        <w:t>ernisierungsgesetz: VdK fordert Wärmewende mit zielgerichteter sozialer Förderung fair gestalten</w:t>
      </w:r>
    </w:p>
    <w:p w14:paraId="0602C169" w14:textId="77777777" w:rsidR="00B125A8" w:rsidRDefault="00EE25F7">
      <w:pPr>
        <w:pStyle w:val="Vorspann"/>
      </w:pPr>
      <w:r>
        <w:t xml:space="preserve">Mit dem neuen Gebäudemodernisierungsgesetz (GMG) will die Bundesregierung wieder mehr Flexibilität beim Heizen schaffen. Doch der Sozialverband VdK warnt: Wer </w:t>
      </w:r>
      <w:r>
        <w:t>jetzt auf alte Technik setzt, riskiert hohe Kosten.</w:t>
      </w:r>
    </w:p>
    <w:p w14:paraId="32C29C22" w14:textId="77777777" w:rsidR="00B125A8" w:rsidRDefault="00EE25F7">
      <w:r>
        <w:t>Neue Öl- und Gasheizungen wirken auf den ersten Blick günstiger, doch ihr Betrieb wird laut Expertinnen und Experten langfristig teurer. Die Preise für Heizöl und Erdgas dürften in den kommenden Jahren we</w:t>
      </w:r>
      <w:r>
        <w:t>iter steigen.</w:t>
      </w:r>
    </w:p>
    <w:p w14:paraId="6EEC86A9" w14:textId="77777777" w:rsidR="00B125A8" w:rsidRDefault="00EE25F7">
      <w:r>
        <w:t>Denn ab dem Jahr 2028 wird der europäische CO2-Preis auf Wärme und Verkehr eingeführt und löst den nationalen ab. Wie sich die Kosten dann entwickeln, lässt sich noch nicht voraussagen. Zudem müssen Verbraucherinnen und Verbraucher ab dem Jah</w:t>
      </w:r>
      <w:r>
        <w:t>r 2029 zehn Prozent grünes Gas oder Öl beimischen; die Quote erhöht sich schrittweise. Diese Energieträger sind sehr knapp und teuer, weshalb fossiles Heizen zukünftig noch kostspieliger wird.</w:t>
      </w:r>
    </w:p>
    <w:p w14:paraId="02F6F816" w14:textId="77777777" w:rsidR="00B125A8" w:rsidRDefault="00EE25F7">
      <w:pPr>
        <w:pStyle w:val="Zwischentitel"/>
      </w:pPr>
      <w:r>
        <w:t>Neu statt alt</w:t>
      </w:r>
    </w:p>
    <w:p w14:paraId="57980CAD" w14:textId="77777777" w:rsidR="00B125A8" w:rsidRDefault="00EE25F7">
      <w:r>
        <w:t>Auch die Netzentgelte dürften steigen. Denn die E</w:t>
      </w:r>
      <w:r>
        <w:t>nergieversorger müssen ihre Kosten künftig auf immer weniger Gas- und Ölkundinnen und -kunden verteilen. Hinzu kommen geopolitische Krisen, die – wie beim Krieg in der Ukraine oder dem Iran – das Risiko für weitere Preissprünge bergen.</w:t>
      </w:r>
    </w:p>
    <w:p w14:paraId="7F2B3AE3" w14:textId="77777777" w:rsidR="00B125A8" w:rsidRDefault="00EE25F7">
      <w:r>
        <w:t xml:space="preserve">„Deshalb </w:t>
      </w:r>
      <w:r>
        <w:t>halten wir es nicht für zielführend, an alten Technologien festzuhalten – weder für Verbraucherinnen und Verbraucher noch für das Klima“, sagt VdK-Präsidentin Verena Bentele. Sie ist überzeugt: Langfristig ist erneuerbare Wärme die günstigere Lösung.</w:t>
      </w:r>
    </w:p>
    <w:p w14:paraId="387F18D7" w14:textId="77777777" w:rsidR="00B125A8" w:rsidRDefault="00EE25F7">
      <w:r>
        <w:t>Für v</w:t>
      </w:r>
      <w:r>
        <w:t>iele Menschen ist der Wechsel zu klimafreundlicher Wärme dennoch eine große Hürde, zum Beispiel für ein Rentnerpaar, das sich in den 1960er-Jahren ein kleines Haus mit einer Ölheizung gebaut hat. Wegen einer niedrigen Rente haben sie keine Rücklagen für ei</w:t>
      </w:r>
      <w:r>
        <w:t xml:space="preserve">ne Sanierung oder einen Heizungstausch. Laut Paritätischem Gesamtverband betrifft dies rund 12,8 Prozent aller Hauseigentümerinnen und -eigentümer in Deutschland. </w:t>
      </w:r>
    </w:p>
    <w:p w14:paraId="7EE8CC0A" w14:textId="77777777" w:rsidR="00B125A8" w:rsidRDefault="00EE25F7">
      <w:r>
        <w:lastRenderedPageBreak/>
        <w:t xml:space="preserve">Auch Mieterinnen und Mieter, wie die alleinerziehende Mutter mit zwei Kindern, können nicht </w:t>
      </w:r>
      <w:r>
        <w:t xml:space="preserve">über die Heizungsart entscheiden. Und Menschen, die sehr alt oder krank sind, ein Kind mit einer Behinderung versorgen oder einen pflegebedürftigen Angehörigen betreuen, haben oft weder Kraft noch Zeit, um sich mit Sanierungsfragen zu befassen. </w:t>
      </w:r>
    </w:p>
    <w:p w14:paraId="43E896F7" w14:textId="77777777" w:rsidR="00B125A8" w:rsidRDefault="00EE25F7">
      <w:pPr>
        <w:pStyle w:val="Zwischentitel"/>
      </w:pPr>
      <w:r>
        <w:t>Sozial ges</w:t>
      </w:r>
      <w:r>
        <w:t>taffelt</w:t>
      </w:r>
    </w:p>
    <w:p w14:paraId="4CF45AF8" w14:textId="77777777" w:rsidR="00B125A8" w:rsidRDefault="00EE25F7">
      <w:r>
        <w:t>Damit alle Menschen an der Wärmewende teilhaben können, fordert der VdK, die Bundesförderung für effiziente Gebäude (BEG) sozial auszurichten. „Das frühere Heizungsgesetz enthielt eine sozial gestaffelte Förderung“, sagt Bentele. Diese Idee muss we</w:t>
      </w:r>
      <w:r>
        <w:t>iter ausgebaut werden. Hier sei zu berücksichtigen, dass viele Interessierte keine 30 000 Euro vorstrecken könnten, um sie sich rückwirkend erstatten zu lassen. Dies ist nach Ansicht des VdK für Menschen mit geringen finanziellen Spielräumen eine der größt</w:t>
      </w:r>
      <w:r>
        <w:t xml:space="preserve">en Hürden bei der Nutzung der BEG. </w:t>
      </w:r>
    </w:p>
    <w:p w14:paraId="5552C2BF" w14:textId="77777777" w:rsidR="00B125A8" w:rsidRDefault="00EE25F7">
      <w:r>
        <w:t xml:space="preserve">Der VdK fordert, den Grundzuschuss der BEG um weitere Boni zu ergänzen. Die Förderung muss sich am Einkommen und an besonderen Lebenslagen orientieren. Hier braucht es einen Bonus für sehr ineffiziente Gebäude, in denen </w:t>
      </w:r>
      <w:r>
        <w:t xml:space="preserve">häufig Menschen mit niedrigem Einkommen leben. Daneben ist ein mehrstufiger Einkommensbonus erforderlich, über den neben dem Heizungstausch auch Dämmung, Fenstertausch und andere Maßnahmen finanziert werden können. Die Boni müssen kombinierbar sein – ohne </w:t>
      </w:r>
      <w:r>
        <w:t xml:space="preserve">sie zu kürzen. </w:t>
      </w:r>
    </w:p>
    <w:p w14:paraId="6305ED61" w14:textId="77777777" w:rsidR="00B125A8" w:rsidRDefault="00EE25F7">
      <w:r>
        <w:t>Weiterhin fordert Bentele eine Härtefallregelung mit einer 100-prozentigen Förderung. Sie verweist auf Familien mit Kindern mit Behinderung sowie Haushalte mit pflegebedürftigen oder schwer kranken Angehörigen ohne finanzielle Rücklagen.</w:t>
      </w:r>
    </w:p>
    <w:p w14:paraId="757093D4" w14:textId="77777777" w:rsidR="00B125A8" w:rsidRDefault="00EE25F7">
      <w:r>
        <w:t>Ve</w:t>
      </w:r>
      <w:r>
        <w:t xml:space="preserve">rmieterinnen und Vermieter brauchen Anreize, auf klimafreundliche Systeme umzusteigen und energetisch zu sanieren. Es darf aber nicht sein, dass sie die Kosten auf die Mieterinnen und Mieter abwälzen, so Bentele. </w:t>
      </w:r>
    </w:p>
    <w:p w14:paraId="7AE413F0" w14:textId="77777777" w:rsidR="00B125A8" w:rsidRDefault="00EE25F7">
      <w:r>
        <w:t>Für Eigentümerinnen und Eigentümer, die ih</w:t>
      </w:r>
      <w:r>
        <w:t>r Haus selbst bewohnen, fordert der VdK Kreditvergaberichtlinien, die Ältere nicht diskriminieren, sowie alternative Finanzierungsmodelle. Ein weiterer Hebel wäre, die Stromsteuer auch für Privathaushalte zu senken, um den Umstieg auf elektrische Heizsyste</w:t>
      </w:r>
      <w:r>
        <w:t xml:space="preserve">me zu erleichtern. </w:t>
      </w:r>
    </w:p>
    <w:p w14:paraId="1ADDDBFF" w14:textId="77777777" w:rsidR="00B125A8" w:rsidRDefault="00EE25F7">
      <w:pPr>
        <w:pStyle w:val="Zwischentitel"/>
      </w:pPr>
      <w:r>
        <w:t>Einfach und barrierefrei</w:t>
      </w:r>
    </w:p>
    <w:p w14:paraId="4C4D7837" w14:textId="77777777" w:rsidR="00B125A8" w:rsidRDefault="00EE25F7">
      <w:r>
        <w:t>Entscheidend ist zudem eine kostenfreie, leicht zugängliche Beratung rund um Heizungstausch, Sanierung und Förderung. Die Anträge müssen barrierefrei und einfach zu stellen sein. „Nur so können alle Menschen – u</w:t>
      </w:r>
      <w:r>
        <w:t xml:space="preserve">nabhängig von Einkommen, Alter oder Lebenslage – die Chancen der Wärmewende nutzen“, erklärt Bentele. </w:t>
      </w:r>
      <w:r>
        <w:rPr>
          <w:b/>
        </w:rPr>
        <w:t>Kristin Enge</w:t>
      </w:r>
    </w:p>
    <w:p w14:paraId="5309A0C2" w14:textId="77777777" w:rsidR="00B125A8" w:rsidRDefault="00EE25F7">
      <w:pPr>
        <w:pStyle w:val="berschrift1"/>
      </w:pPr>
      <w:bookmarkStart w:id="8" w:name="_Toc226531869"/>
      <w:r>
        <w:lastRenderedPageBreak/>
        <w:t>Echte Reform statt höherer Mehrwertsteuer</w:t>
      </w:r>
      <w:bookmarkEnd w:id="8"/>
    </w:p>
    <w:p w14:paraId="336916F5" w14:textId="77777777" w:rsidR="00B125A8" w:rsidRDefault="00EE25F7">
      <w:pPr>
        <w:pStyle w:val="Standard-Fett"/>
      </w:pPr>
      <w:r>
        <w:t>Bundesregierung sollte sich an die Vermögens- und Erbschaftssteuer wagen</w:t>
      </w:r>
    </w:p>
    <w:p w14:paraId="61A27EBB" w14:textId="77777777" w:rsidR="00B125A8" w:rsidRDefault="00EE25F7">
      <w:pPr>
        <w:pStyle w:val="Vorspann"/>
      </w:pPr>
      <w:r>
        <w:t>Im Bundeshaushalt klafft a</w:t>
      </w:r>
      <w:r>
        <w:t>b 2027 eine Finanzlücke. Der Ökonom Marcel Fratzscher prophezeit eine Erhöhung der Mehrwertsteuer zur Schließung dieser Lücke – und warnt davor. Auch der Sozialverband VdK lehnt diesen Schritt ab und fordert stattdessen eine Steuerreform, die Superreiche s</w:t>
      </w:r>
      <w:r>
        <w:t xml:space="preserve">tärker in die Pflicht nimmt. </w:t>
      </w:r>
    </w:p>
    <w:p w14:paraId="31E4C1F2" w14:textId="77777777" w:rsidR="00B125A8" w:rsidRDefault="00EE25F7">
      <w:r>
        <w:t>Fratzscher geht davon aus, dass in den Jahren 2027 bis 2029 ein Haushaltsloch von mehr als 130 Milliarden Euro entsteht. Er sagte dem Redaktionsnetzwerk Deutschland (RND), dass er eine Erhöhung der Mehrwertsteuer von derzeit 1</w:t>
      </w:r>
      <w:r>
        <w:t xml:space="preserve">9 auf dann 21 Prozent erwarte, um das Haushaltsloch zu stopfen. Von CDU/CSU und SPD kamen umgehend Reaktionen, dass eine höhere Mehrwertsteuer keine Option sei. Aus Fratzschers Sicht bleibt sie jedoch eine große Versuchung, weil sich die Koalitionspartner </w:t>
      </w:r>
      <w:r>
        <w:t xml:space="preserve">bei der Einigung auf andere Lösungen schwertun. </w:t>
      </w:r>
    </w:p>
    <w:p w14:paraId="2FF13DFA" w14:textId="77777777" w:rsidR="00B125A8" w:rsidRDefault="00EE25F7">
      <w:pPr>
        <w:pStyle w:val="Zwischentitel"/>
      </w:pPr>
      <w:r>
        <w:t>Keine Einigung in Sicht</w:t>
      </w:r>
    </w:p>
    <w:p w14:paraId="54E36A39" w14:textId="77777777" w:rsidR="00B125A8" w:rsidRDefault="00EE25F7">
      <w:r>
        <w:t>Die SPD dringt mit ihrer Forderung nach einer Überarbeitung der Schuldenbremse bei CDU/CSU nicht durch. Gleiches gilt für die Reform der Erbschaftssteuer, von der sich die SPD Mehrein</w:t>
      </w:r>
      <w:r>
        <w:t xml:space="preserve">nahmen im Milliardenbereich verspricht. Auch die Abschaffung klimaschädlicher Steuersubventionen, darunter das Diesel-Privileg und die Pendlerpauschale, die Fratzscher vorschlägt und deren Einnahmen er mit rund 60 Milliarden Euro beziffert, ist mit dieser </w:t>
      </w:r>
      <w:r>
        <w:t xml:space="preserve">Koalition nur schwer vorstellbar. </w:t>
      </w:r>
    </w:p>
    <w:p w14:paraId="336EF4B5" w14:textId="77777777" w:rsidR="00B125A8" w:rsidRDefault="00EE25F7">
      <w:r>
        <w:t>Der VdK hält eine Mehrwertsteuererhöhung für den völlig falschen Weg. „Hier offenbart sich politische Ideenarmut. Die Koalition scheut echte Reformen“, kritisiert VdK-Präsidentin Verena Bentele. „Eine Erhöhung der Mehrwer</w:t>
      </w:r>
      <w:r>
        <w:t xml:space="preserve">tsteuer belastet vor allem Menschen mit geringen und mittleren Einkommen, die bereits viel für Grundbedürfnisse wie Energie und Kleidung ausgeben.“ Stattdessen sollten sehr Reiche stärker besteuert werden. </w:t>
      </w:r>
    </w:p>
    <w:p w14:paraId="42AEA217" w14:textId="77777777" w:rsidR="00B125A8" w:rsidRDefault="00EE25F7">
      <w:pPr>
        <w:pStyle w:val="Zwischentitel"/>
      </w:pPr>
      <w:r>
        <w:t>Gerechte Besteuerung</w:t>
      </w:r>
    </w:p>
    <w:p w14:paraId="408D1A22" w14:textId="77777777" w:rsidR="00B125A8" w:rsidRDefault="00EE25F7">
      <w:r>
        <w:t>Der VdK schlägt eine sozial gerechte Ausgestaltung der Vermögens- und Erbschaftssteuer vor. So sollten bei der Erbschaftssteuer einerseits Ausnahmen wegfallen, andererseits aber mit hohen Freibeträgen von zwei Millionen Euro sichergestellt werden, dass nur</w:t>
      </w:r>
      <w:r>
        <w:t xml:space="preserve"> sehr große Erbschaften besteuert werden. Außerdem sollte die Vermögenssteuer mit einem niedrigen Steuersatz von einem Prozent für Vermögen ab fünf Millionen Euro und von zwei Prozent für Vermögen über 100 Millionen Euro wieder eingesetzt werden. Dies könn</w:t>
      </w:r>
      <w:r>
        <w:t xml:space="preserve">te die Lücken im Bundeshaushalt </w:t>
      </w:r>
      <w:r>
        <w:lastRenderedPageBreak/>
        <w:t xml:space="preserve">schließen, ohne wesentlich in die Vermögenssubstanz der Besteuerten einzugreifen.  </w:t>
      </w:r>
      <w:r>
        <w:rPr>
          <w:b/>
        </w:rPr>
        <w:t>Jörg Ciszewski</w:t>
      </w:r>
    </w:p>
    <w:p w14:paraId="003052A9" w14:textId="77777777" w:rsidR="00B125A8" w:rsidRDefault="00EE25F7">
      <w:pPr>
        <w:pStyle w:val="berschrift1"/>
      </w:pPr>
      <w:bookmarkStart w:id="9" w:name="_Toc226531870"/>
      <w:r>
        <w:t>175 000 Vollzeitstellen</w:t>
      </w:r>
      <w:bookmarkEnd w:id="9"/>
    </w:p>
    <w:p w14:paraId="58DFDBBC" w14:textId="77777777" w:rsidR="00B125A8" w:rsidRDefault="00EE25F7">
      <w:pPr>
        <w:pStyle w:val="Standard-Fett"/>
      </w:pPr>
      <w:r>
        <w:t>Ehegattensplitting bremst Frauen am Arbeitsmarkt</w:t>
      </w:r>
    </w:p>
    <w:p w14:paraId="1EFD99EF" w14:textId="77777777" w:rsidR="00B125A8" w:rsidRDefault="00EE25F7">
      <w:pPr>
        <w:pStyle w:val="Vorspann"/>
      </w:pPr>
      <w:r>
        <w:t>Viele Frauen kümmern sich um Kinder, pflegebedürftige</w:t>
      </w:r>
      <w:r>
        <w:t xml:space="preserve"> Angehörige und den Haushalt. Oft reduzieren sie dafür ihre Erwerbsarbeitszeit - manchmal auch auf Dauer. Dieses Potenzial werde aber dringend gebraucht, so die Bertelsmann-Stiftung in einer aktuellen Studie. </w:t>
      </w:r>
    </w:p>
    <w:p w14:paraId="02073780" w14:textId="77777777" w:rsidR="00B125A8" w:rsidRDefault="00EE25F7">
      <w:r>
        <w:t>Jede zweite teilzeitbeschäftigte, verheiratete</w:t>
      </w:r>
      <w:r>
        <w:t xml:space="preserve"> Frau zwischen 45 und 66 Jahren stockt ihre Arbeitszeit nicht auf, weil es sich finanziell nicht auszahlt. Bei den nicht erwerbstätigen Frauen sind es knapp 35 Prozent, für die es sich nicht lohnt zu arbeiten. Das ist das Ergebnis einer Studie, die das Deu</w:t>
      </w:r>
      <w:r>
        <w:t>tsche Institut für Wirtschaftsforschung (DIW Berlin) im Auftrag der Bertelsmann-Stiftung erstellt hat.</w:t>
      </w:r>
    </w:p>
    <w:p w14:paraId="69E8DC86" w14:textId="77777777" w:rsidR="00B125A8" w:rsidRDefault="00EE25F7">
      <w:r>
        <w:t xml:space="preserve">Der Hauptgrund dafür ist laut Bertelsmann-Stiftung das Ehegattensplitting. Es begünstige Paare steuerlich besonders, wenn ein Partner – meist der Mann – </w:t>
      </w:r>
      <w:r>
        <w:t xml:space="preserve">den größten Teil des Einkommens erzielt. Sobald die Partnerin mehr arbeitet, schwindet der Steuervorteil, weil der Zweitverdienst überproportional besteuert wird. Wer mehr arbeitet, hat dann netto oft nur wenig davon. </w:t>
      </w:r>
    </w:p>
    <w:p w14:paraId="2560F546" w14:textId="77777777" w:rsidR="00B125A8" w:rsidRDefault="00EE25F7">
      <w:r>
        <w:t xml:space="preserve">Die Bertelsmann-Stiftung sieht darin </w:t>
      </w:r>
      <w:r>
        <w:t>einen klaren Hemmschuh für die Erwerbstätigkeit von Frauen. Bleibe vom eigenen Einkommen mehr übrig, würden mehr Frauen ihre Arbeitszeit ausweiten oder wieder in den Job einsteigen. Rechnerisch könnten rund 175 000 zusätzliche Vollzeitstellen entstehen, so</w:t>
      </w:r>
      <w:r>
        <w:t xml:space="preserve"> die Bertelsmann-Stiftung. Auch der Anteil schlecht abgesicherter Minijobs würde zugunsten sozialversicherungspflichtiger Beschäftigung sinken. Die Gesellschaft könne es sich ökonomisch nicht leisten, dieses Potenzial ungenutzt zu lassen, so Arbeitsmarktex</w:t>
      </w:r>
      <w:r>
        <w:t xml:space="preserve">pertin Michaela Hermann von der Bertelsmann-Stiftung. </w:t>
      </w:r>
    </w:p>
    <w:p w14:paraId="13AE3AD3" w14:textId="77777777" w:rsidR="00B125A8" w:rsidRDefault="00EE25F7">
      <w:r>
        <w:t>Der Sozialverband VdK fordert statt des Ehegattensplittings eine steuerliche Entlastung für Familien mit Kindern. „Ein solches Besteuerungsmodell sollte nicht am Status der Ehe, sondern an der Übernahm</w:t>
      </w:r>
      <w:r>
        <w:t xml:space="preserve">e familiärer Verantwortung festgemacht werden. Sorgearbeit müsste steuerliche Vorteile bringen und so den Frauen eine existenzsichernde Beschäftigung ermöglichen“, erklärt VdK-Präsidentin Verena Bentele. </w:t>
      </w:r>
      <w:r>
        <w:rPr>
          <w:b/>
        </w:rPr>
        <w:t>ken</w:t>
      </w:r>
    </w:p>
    <w:p w14:paraId="1E137391" w14:textId="77777777" w:rsidR="00B125A8" w:rsidRDefault="00EE25F7">
      <w:pPr>
        <w:pStyle w:val="berschrift1"/>
      </w:pPr>
      <w:bookmarkStart w:id="10" w:name="_Toc226531871"/>
      <w:r>
        <w:lastRenderedPageBreak/>
        <w:t>Landesamt muss Schwerbehinderung anerkennen</w:t>
      </w:r>
      <w:bookmarkEnd w:id="10"/>
    </w:p>
    <w:p w14:paraId="6B453D04" w14:textId="77777777" w:rsidR="00B125A8" w:rsidRDefault="00EE25F7">
      <w:pPr>
        <w:pStyle w:val="Standard-Fett"/>
      </w:pPr>
      <w:r>
        <w:t xml:space="preserve">VdK gewinnt Widerspruchsverfahren für ein fünfjähriges Mädchen mit einer schweren Autismus-Spektrum-Störung </w:t>
      </w:r>
    </w:p>
    <w:p w14:paraId="5A42BD42" w14:textId="77777777" w:rsidR="00B125A8" w:rsidRDefault="00EE25F7">
      <w:pPr>
        <w:pStyle w:val="Vorspann"/>
      </w:pPr>
      <w:r>
        <w:t>Der VdK Saarland hat für die fünfjährige Sophie* die Feststellung eines Schwerbehindertenstatus erstritten. Das Mädchen ist aufgrund einer schweren</w:t>
      </w:r>
      <w:r>
        <w:t xml:space="preserve"> Autismus-Spektrum-Störung in seinem Alltag in vielen Bereichen beeinträchtigt.</w:t>
      </w:r>
    </w:p>
    <w:p w14:paraId="4D638217" w14:textId="77777777" w:rsidR="00B125A8" w:rsidRDefault="00EE25F7">
      <w:r>
        <w:t>Sophie handelt in bestimmten Situationen oft anders als die meisten Kinder in ihrem Alter. Wenn zum Beispiel im Kindergarten ihre beste Freundin oder die vertraute Erzieherin n</w:t>
      </w:r>
      <w:r>
        <w:t xml:space="preserve">icht da sind, verstummt sie. Zuhause rede sie hingegen wie ein Wasserfall, erzählt ihre Mutter Anna B. </w:t>
      </w:r>
    </w:p>
    <w:p w14:paraId="7D828285" w14:textId="77777777" w:rsidR="00B125A8" w:rsidRDefault="00EE25F7">
      <w:r>
        <w:t>Sophies Tagesablauf muss immer klar strukturiert sein. Wenn die Abläufe vom Gewohnten abweichen, kann es zu einer Überbelastungsreaktion kommen. Dann sc</w:t>
      </w:r>
      <w:r>
        <w:t xml:space="preserve">hreit sie, wirft mit Gegenständen oder rollt sich in den Vorhang ein. Dieser psychische Ausnahmezustand wird als „Meltdown“ bezeichnet und durch emotionale oder sensorische Reizüberflutung ausgelöst. </w:t>
      </w:r>
    </w:p>
    <w:p w14:paraId="12D6242D" w14:textId="77777777" w:rsidR="00B125A8" w:rsidRDefault="00EE25F7">
      <w:pPr>
        <w:pStyle w:val="Zwischentitel"/>
      </w:pPr>
      <w:r>
        <w:t>Gewohnte Abläufe</w:t>
      </w:r>
    </w:p>
    <w:p w14:paraId="3C368F91" w14:textId="77777777" w:rsidR="00B125A8" w:rsidRDefault="00EE25F7">
      <w:r>
        <w:t>Um solchen Situationen vorzubeugen, st</w:t>
      </w:r>
      <w:r>
        <w:t>ellt sich Anna B. auf die Bedürfnisse ihrer Tochter ein. Die Vorbereitung auf den Kindergarten – das Aufstehen und Anziehen – kann zwei bis drei Stunden dauern. Wegen ihrer sensorischen Sensibilität nimmt allein die Wahl der Kleidung, die sie anziehen möch</w:t>
      </w:r>
      <w:r>
        <w:t>te, viel Zeit in Anspruch. Daher hat sie ihre festen Kindergartenzeiten von 10.30 Uhr bis 15.15 Uhr. Wenn sie dann nach Hause kommt, braucht sie zwei bis drei Stunden, um die Eindrücke zu verarbeiten. Dann beginnt die Abendroutine, die auch streng struktur</w:t>
      </w:r>
      <w:r>
        <w:t xml:space="preserve">iert ist. </w:t>
      </w:r>
    </w:p>
    <w:p w14:paraId="142E7084" w14:textId="77777777" w:rsidR="00B125A8" w:rsidRDefault="00EE25F7">
      <w:r>
        <w:t>Wegen der schwerwiegenden Störung ihrer Tochter hat Anna B. im Januar 2025 beim Landesamt für Soziales in Saarbrücken einen Antrag auf Anerkennung einer Schwerbehinderung gestellt. Neun Monate später teilte das Amt mit, dass lediglich ein Grad d</w:t>
      </w:r>
      <w:r>
        <w:t>er Behinderung (GdB) von 40 vorliegt. Eine Schwerbehinderung gilt ab einem GdB von 50. Daraufhin wandte sich Anna B. an den VdK Saarland. Die Sozialrechtsexpertin Heike Weyand legte Widerspruch gegen die Entscheidung ein, weil die Autismus-Spektrum-Störung</w:t>
      </w:r>
      <w:r>
        <w:t xml:space="preserve"> bei der Entscheidung nicht ausreichend berücksichtigt worden ist. </w:t>
      </w:r>
    </w:p>
    <w:p w14:paraId="549F2C54" w14:textId="77777777" w:rsidR="00B125A8" w:rsidRDefault="00EE25F7">
      <w:pPr>
        <w:pStyle w:val="Zwischentitel"/>
      </w:pPr>
      <w:r>
        <w:t>Auf die Mutter fixiert</w:t>
      </w:r>
    </w:p>
    <w:p w14:paraId="79746B14" w14:textId="77777777" w:rsidR="00B125A8" w:rsidRDefault="00EE25F7">
      <w:r>
        <w:t xml:space="preserve">Weyand legte dar, dass die sozialen Anpassungsschwierigkeiten und die extreme Mutterbezogenheit der Tochter den Alltag bestimmen. Die Integration des Kindes sei nur </w:t>
      </w:r>
      <w:r>
        <w:t xml:space="preserve">mit </w:t>
      </w:r>
      <w:r>
        <w:lastRenderedPageBreak/>
        <w:t xml:space="preserve">ständiger Unterstützung möglich, zum Beispiel durch die Bezugserzieherin im Kindergarten oder die Mutter. Es bestehe ein Zustand, der einer Schwerbehinderung entspricht. </w:t>
      </w:r>
    </w:p>
    <w:p w14:paraId="023CD2EF" w14:textId="77777777" w:rsidR="00B125A8" w:rsidRDefault="00EE25F7">
      <w:r>
        <w:t>Eine Woche nach dem Widerspruch erkannte das Landesamt Anfang Februar dieses Jahr</w:t>
      </w:r>
      <w:r>
        <w:t xml:space="preserve">es die Schwerbehinderung mit dem Merkzeichen H für Hilflosigkeit überraschend schnell an. </w:t>
      </w:r>
    </w:p>
    <w:p w14:paraId="7274C741" w14:textId="77777777" w:rsidR="00B125A8" w:rsidRDefault="00EE25F7">
      <w:r>
        <w:t>Für Anna B. war die Entscheidung eine Erleichterung. Mit dem Merkzeichen sind unter anderem steuerliche Entlastungen und die kostenfreie Nutzung von Bussen und Bahne</w:t>
      </w:r>
      <w:r>
        <w:t>n verbunden. Es geht der Mutter aber auch um Anerkennung. „Immer muss ich mich für Ausnahmen für meine Tochter, wie die spätere Einschulung, rechtfertigen, weil ihre Behinderung nicht sichtbar ist. Ich bin glücklich, dass ich jetzt einen entsprechenden Nac</w:t>
      </w:r>
      <w:r>
        <w:t xml:space="preserve">hweis darüber habe und bin dem VdK sehr dankbar für die Unterstützung.“  </w:t>
      </w:r>
      <w:r>
        <w:rPr>
          <w:b/>
        </w:rPr>
        <w:t>Jörg Ciszewski</w:t>
      </w:r>
    </w:p>
    <w:p w14:paraId="050CFDCF" w14:textId="77777777" w:rsidR="00B125A8" w:rsidRDefault="00EE25F7">
      <w:r>
        <w:t xml:space="preserve">*Name von der Redaktion geändert </w:t>
      </w:r>
    </w:p>
    <w:p w14:paraId="5E7195AF" w14:textId="77777777" w:rsidR="00B125A8" w:rsidRDefault="00EE25F7">
      <w:pPr>
        <w:pStyle w:val="berschrift1"/>
      </w:pPr>
      <w:bookmarkStart w:id="11" w:name="_Toc226531872"/>
      <w:r>
        <w:t>Kasse muss 550 Euro Fahrtkosten erstatten</w:t>
      </w:r>
      <w:bookmarkEnd w:id="11"/>
    </w:p>
    <w:p w14:paraId="46885036" w14:textId="77777777" w:rsidR="00B125A8" w:rsidRDefault="00EE25F7">
      <w:pPr>
        <w:pStyle w:val="Standard-Fett"/>
      </w:pPr>
      <w:r>
        <w:t xml:space="preserve">Patientin aus Dortmund war mit dem Taxi zur Klinik nach Marburg gefahren </w:t>
      </w:r>
    </w:p>
    <w:p w14:paraId="767A0832" w14:textId="77777777" w:rsidR="00B125A8" w:rsidRDefault="00EE25F7">
      <w:pPr>
        <w:pStyle w:val="Vorspann"/>
      </w:pPr>
      <w:r>
        <w:t>Elke K.* hat mit U</w:t>
      </w:r>
      <w:r>
        <w:t>nterstützung des VdK Nordrhein-Westfalen erreicht, dass ihre Krankenkasse einen Großteil der Kosten für eine Fahrt ins rund 150 Kilometer entfernt gelegene Krankenhaus übernehmen muss. Der Streit um die Sache dauerte fast drei Jahre.</w:t>
      </w:r>
    </w:p>
    <w:p w14:paraId="42996B89" w14:textId="77777777" w:rsidR="00B125A8" w:rsidRDefault="00EE25F7">
      <w:r>
        <w:t>Die 76-jährige Elke K.</w:t>
      </w:r>
      <w:r>
        <w:t xml:space="preserve"> aus Dortmund leidet seit fast 30 Jahren an einem Tremor, der dazu führt, dass ihr Kopf stark zittert. Diese neurologische Bewegungsstörung löst bei ihr Muskelschmerzen und eine Fehlhaltung im Hals-Nacken-Bereich aus. Im Jahr 2018 wurde ihr ein Hirnschritt</w:t>
      </w:r>
      <w:r>
        <w:t xml:space="preserve">macher implantiert, der das Zittern wesentlich verringert. </w:t>
      </w:r>
    </w:p>
    <w:p w14:paraId="12BF4CE6" w14:textId="77777777" w:rsidR="00B125A8" w:rsidRDefault="00EE25F7">
      <w:r>
        <w:t xml:space="preserve">Der Hirnschrittmacher besteht aus einem Impulsgerät, das im Bereich des Schlüsselbeins implantiert ist. Es hat etwa die Größe von zwei Streichholzpackungen und ist mit einem Kabel über Elektroden </w:t>
      </w:r>
      <w:r>
        <w:t>mit dem Gehirn verbunden. Darüber werden elektrische Impulse an das Gehirn gesendet.</w:t>
      </w:r>
    </w:p>
    <w:p w14:paraId="4FF5DD22" w14:textId="77777777" w:rsidR="00B125A8" w:rsidRDefault="00EE25F7">
      <w:pPr>
        <w:pStyle w:val="Zwischentitel"/>
      </w:pPr>
      <w:r>
        <w:t>Regelmäßig einstellen</w:t>
      </w:r>
    </w:p>
    <w:p w14:paraId="2631496E" w14:textId="77777777" w:rsidR="00B125A8" w:rsidRDefault="00EE25F7">
      <w:r>
        <w:t>Elke K. muss alle zwei, drei Jahre in eine Spezialklinik ins rund 150 Kilometer entfernte Marburg, um Feineinstellungen an dem Gerät vornehmen zu las</w:t>
      </w:r>
      <w:r>
        <w:t>sen. Eingesetzt worden war ihr der Hirnschrittmacher in einer Klinik in Hamm, keine Stunde von ihrem Wohnort entfernt.</w:t>
      </w:r>
    </w:p>
    <w:p w14:paraId="4BDABFE6" w14:textId="77777777" w:rsidR="00B125A8" w:rsidRDefault="00EE25F7">
      <w:r>
        <w:lastRenderedPageBreak/>
        <w:t xml:space="preserve">Als sie im Dezember 2023 wieder für einen mehrtägigen Krankenhausaufenthalt nach Marburg musste, war sie wie bereits in den Jahren zuvor </w:t>
      </w:r>
      <w:r>
        <w:t xml:space="preserve">mit dem Taxi dorthin gefahren. Sie hatte ihre Krankenkasse darüber informiert. </w:t>
      </w:r>
    </w:p>
    <w:p w14:paraId="2200CA93" w14:textId="77777777" w:rsidR="00B125A8" w:rsidRDefault="00EE25F7">
      <w:r>
        <w:t>Allerdings stellte sich die Kasse bei der Erstattung der Fahrtkosten in Höhe von rund 900 Euro dieses Mal quer. Es würden nur die Kosten zur nächstgelegenen Behandlungsstation,</w:t>
      </w:r>
      <w:r>
        <w:t xml:space="preserve"> zum Beispiel in das Krankenhaus in Hamm, übernommen. Mehrkosten darüber hinaus seien selbst zu tragen, teilte die Krankenkasse mit.</w:t>
      </w:r>
    </w:p>
    <w:p w14:paraId="13683216" w14:textId="77777777" w:rsidR="00B125A8" w:rsidRDefault="00EE25F7">
      <w:r>
        <w:t>Elke K. war überrascht und legte unmittelbar Widerspruch dagegen ein. Ende Januar 2024 wies die Krankenkasse den Widerspruc</w:t>
      </w:r>
      <w:r>
        <w:t xml:space="preserve">h zurück – obwohl Elke K. angegeben hatte, dass sie eine Überweisung für den Klinikaufenthalt in Marburg hatte und nur dort der notwendige Eingriff möglich ist. </w:t>
      </w:r>
    </w:p>
    <w:p w14:paraId="1F5630D0" w14:textId="77777777" w:rsidR="00B125A8" w:rsidRDefault="00EE25F7">
      <w:r>
        <w:t>Die 76-Jährige versuchte, weiter gegen die Ablehnung vorzugehen, blieb aber ohne Erfolg. Sie d</w:t>
      </w:r>
      <w:r>
        <w:t xml:space="preserve">rohte auf den hohen Taxikosten sitzen zu bleiben. Schließlich nahm sie Kontakt zum VdK auf. </w:t>
      </w:r>
    </w:p>
    <w:p w14:paraId="489B6597" w14:textId="77777777" w:rsidR="00B125A8" w:rsidRDefault="00EE25F7">
      <w:r>
        <w:t>Die Leiterin der Rechtsabteilung in Dortmund, Elahe Jafari-Neshat, zog für das Mitglied vor das Sozialgericht. Das erkannte die medizinischen Gründe für die Behand</w:t>
      </w:r>
      <w:r>
        <w:t xml:space="preserve">lung in dem Krankenhaus an, für die eine Überweisung der behandelnden Ärzte in Hamm vorgelegen hatte. Ob die Behandlung in Marburg dadurch ausreichend gerechtfertigt sei, müsse gegebenenfalls weiter geklärt werden, so das Gericht. </w:t>
      </w:r>
    </w:p>
    <w:p w14:paraId="0C953D62" w14:textId="77777777" w:rsidR="00B125A8" w:rsidRDefault="00EE25F7">
      <w:r>
        <w:t>Im Februar 2026 kam es d</w:t>
      </w:r>
      <w:r>
        <w:t xml:space="preserve">ann schließlich zu einer mündlichen Verhandlung am Sozialgericht Dortmund, bei der das Gericht einen Vergleich vorschlug, dem beide Parteien zustimmten. Die Krankenkasse muss demzufolge der Klägerin einen Pauschalbetrag von 550 Euro erstatten. </w:t>
      </w:r>
    </w:p>
    <w:p w14:paraId="54607ED0" w14:textId="77777777" w:rsidR="00B125A8" w:rsidRDefault="00EE25F7">
      <w:r>
        <w:t>Elke K. ist</w:t>
      </w:r>
      <w:r>
        <w:t xml:space="preserve"> wütend auf ihre Krankenkasse. Sie sei aber nach drei Jahren müde gewesen und habe nicht mehr weiter streiten wollen. Deshalb habe sie zugestimmt. „Ohne den VdK wäre ich wohl auf den gesamten Fahrtkosten sitzen geblieben“, sagt sie.  </w:t>
      </w:r>
      <w:r>
        <w:rPr>
          <w:b/>
        </w:rPr>
        <w:t>Jörg Ciszewski</w:t>
      </w:r>
    </w:p>
    <w:p w14:paraId="14EDE3D5" w14:textId="77777777" w:rsidR="00B125A8" w:rsidRDefault="00EE25F7">
      <w:r>
        <w:t>*Name d</w:t>
      </w:r>
      <w:r>
        <w:t>er Redaktion bekannt</w:t>
      </w:r>
    </w:p>
    <w:p w14:paraId="054A15EF" w14:textId="77777777" w:rsidR="00B125A8" w:rsidRDefault="00EE25F7">
      <w:pPr>
        <w:pStyle w:val="berschrift1"/>
      </w:pPr>
      <w:bookmarkStart w:id="12" w:name="_Toc226531873"/>
      <w:r>
        <w:t>Zugang nicht verschärfen</w:t>
      </w:r>
      <w:bookmarkEnd w:id="12"/>
    </w:p>
    <w:p w14:paraId="0638241B" w14:textId="77777777" w:rsidR="00B125A8" w:rsidRDefault="00EE25F7">
      <w:pPr>
        <w:pStyle w:val="Standard-Fett"/>
      </w:pPr>
      <w:r>
        <w:t>VdK lehnt Vorschlag ab, die Schwellenwerte für die Einstufung in Pflegegrade anzuheben</w:t>
      </w:r>
    </w:p>
    <w:p w14:paraId="32CDCEB7" w14:textId="77777777" w:rsidR="00B125A8" w:rsidRDefault="00EE25F7">
      <w:pPr>
        <w:pStyle w:val="Vorspann"/>
      </w:pPr>
      <w:r>
        <w:t xml:space="preserve">Ein Vorschlag der Bund-Länder-Arbeitsgruppe „Zukunftspakt Pflege“ sorgt für Unruhe: Die Schwellenwerte für die </w:t>
      </w:r>
      <w:r>
        <w:t>Anerkennung der Pflegegrade 1, 2 und 3 sollten zukünftig angehoben werden. Diese wären dadurch schwerer zu erreichen. Der Sozialverband VdK erteilt dem Vorschlag eine klare Absage.</w:t>
      </w:r>
    </w:p>
    <w:p w14:paraId="1C801115" w14:textId="77777777" w:rsidR="00B125A8" w:rsidRDefault="00EE25F7">
      <w:r>
        <w:lastRenderedPageBreak/>
        <w:t>„Werden die Schwellenwerte erhöht, ändert das nichts daran, dass Menschen i</w:t>
      </w:r>
      <w:r>
        <w:t>n Deutschland einen Pflegebedarf haben“, sagt VdK-Präsidentin Verena Bentele. „Es bedeutet vielmehr, dass sie erst später Leistungen aus der Pflegeversicherung erhalten – also dann, wenn sich ihr Zustand bereits weiter verschlechtert hat.“</w:t>
      </w:r>
    </w:p>
    <w:p w14:paraId="781C1ADB" w14:textId="77777777" w:rsidR="00B125A8" w:rsidRDefault="00EE25F7">
      <w:r>
        <w:t>Damit wird das e</w:t>
      </w:r>
      <w:r>
        <w:t>igentliche Ziel verfehlt, schwere Pflegebedürftigkeit so lange wie möglich hinauszuzögern. Gerade zu Beginn sind Prävention und Rehabilitation entscheidend. Diese können die Selbstständigkeit von Pflegebedürftigen erhalten und ein Abrutschen in höhere Pfle</w:t>
      </w:r>
      <w:r>
        <w:t xml:space="preserve">gegrade verhindern. „Wer die Schwellenwerte anhebt, schwächt die Vorsorge, überfordert Angehörige und treibt die Pflegekosten auf Dauer nach oben“, warnt Bentele </w:t>
      </w:r>
    </w:p>
    <w:p w14:paraId="693F47A8" w14:textId="77777777" w:rsidR="00B125A8" w:rsidRDefault="00EE25F7">
      <w:pPr>
        <w:pStyle w:val="Zwischentitel"/>
      </w:pPr>
      <w:r>
        <w:t>Leistungen nicht kürzen</w:t>
      </w:r>
    </w:p>
    <w:p w14:paraId="3BACDADD" w14:textId="77777777" w:rsidR="00B125A8" w:rsidRDefault="00EE25F7">
      <w:r>
        <w:t>Konkret würde die Anhebung des Schwellenwerts bei Neubegutachtungen f</w:t>
      </w:r>
      <w:r>
        <w:t xml:space="preserve">ür den Pflegegrad 1 bedeuten, dass dieser nicht mehr bei 12,5 bis unter 27 Punkten vergeben würde, sondern erst bei 15 bis unter 30 Punkten. Ähnlich sollen auch die Werte für die Pflegegrade 2 und 3 erhöht werden. </w:t>
      </w:r>
    </w:p>
    <w:p w14:paraId="71551A29" w14:textId="77777777" w:rsidR="00B125A8" w:rsidRDefault="00EE25F7">
      <w:r>
        <w:t>Die Krankenkasse AOK hat berechnet, wie s</w:t>
      </w:r>
      <w:r>
        <w:t>ich eine solche Anhebung bei Neubegutachtungen auswirken könnte. Dazu hat sie die Ergebnisse der Begutachtungen ihrer Versicherten aus dem Jahr 2024 herangezogen und die von der Arbeitsgruppe vorgeschlagenen Schwellenwerte zugrunde gelegt: Die AOK kam zu d</w:t>
      </w:r>
      <w:r>
        <w:t xml:space="preserve">em Ergebnis, dass bei fast 5,6 Prozent aller Begutachtungen kein Pflegegrad zuerkannt worden wäre und bei rund 14 Prozent ein niedrigerer Pflegegrad. </w:t>
      </w:r>
    </w:p>
    <w:p w14:paraId="68D99AD7" w14:textId="77777777" w:rsidR="00B125A8" w:rsidRDefault="00EE25F7">
      <w:r>
        <w:t xml:space="preserve">„Das wäre aus unserer Sicht eine Leistungskürzung, die mit Sparzwängen begründet wird. Das Finanzproblem </w:t>
      </w:r>
      <w:r>
        <w:t xml:space="preserve">der Pflegeversicherung darf nicht auf Kosten der Unterstützung und der Würde der Pflegebedürftigen gelöst werden“, stellt Bentele klar. </w:t>
      </w:r>
    </w:p>
    <w:p w14:paraId="7F16255C" w14:textId="77777777" w:rsidR="00B125A8" w:rsidRDefault="00EE25F7">
      <w:r>
        <w:t>Jährlich werden große Beträge aus der sozialen Pflegeversicherung (SPV) für Leistungen verwendet, die der ganzen Gesell</w:t>
      </w:r>
      <w:r>
        <w:t>schaft nutzen. Im Jahr 2025 wurden beispielsweise 4,74 Milliarden Euro für die Rentenversicherungsbeiträge pflegender Angehöriger aufgewendet. Hinzu kommen weitere Ausgaben wie die Ausbildungsumlage und die beitragsfreie Familienversicherung. „Hier handelt</w:t>
      </w:r>
      <w:r>
        <w:t xml:space="preserve"> es sich um versicherungsfremde Leistungen. Diese müssen aus Steuermitteln finanziert werden“, fordert Bentele. </w:t>
      </w:r>
    </w:p>
    <w:p w14:paraId="0FA432E9" w14:textId="77777777" w:rsidR="00B125A8" w:rsidRDefault="00EE25F7">
      <w:r>
        <w:t>Weitere 5,2 Milliarden Euro hat die Bundesregierung während der Corona-Pandemie aus der SPV entnommen, aber nie zurückgezahlt. Gegen diese Zwec</w:t>
      </w:r>
      <w:r>
        <w:t>kentfremdung von Beiträgen führt der VdK seit Ende 2025 Klagen.</w:t>
      </w:r>
    </w:p>
    <w:p w14:paraId="2941CB1E" w14:textId="77777777" w:rsidR="00B125A8" w:rsidRDefault="00EE25F7">
      <w:pPr>
        <w:pStyle w:val="Zwischentitel"/>
      </w:pPr>
      <w:r>
        <w:t>Vorschläge prüfen</w:t>
      </w:r>
    </w:p>
    <w:p w14:paraId="5C1A19C2" w14:textId="77777777" w:rsidR="00B125A8" w:rsidRDefault="00EE25F7">
      <w:r>
        <w:t>Der VdK wird alle weiteren Vorschläge sorgfältig prüfen. Er dringt darauf, zumindest eine Studie des IGES-Instituts zur Entwicklung der Pflegebedürftigkeit abzuwarten, deren Ergebnisse im zweiten Quartal 2026 vorliegen sollen. Der Fokus der Reformen sollte</w:t>
      </w:r>
      <w:r>
        <w:t xml:space="preserve"> auf der Sicherstellung der Pflege liegen. Bentele fordert, verstärkt renditeorientierte Kapitalbeteiligungsgesellschaften als Betreiber von Pflegeeinrichtungen in den Blick zu nehmen. Diese ziehen viel Geld aus dem System ab. </w:t>
      </w:r>
      <w:r>
        <w:rPr>
          <w:b/>
        </w:rPr>
        <w:t>Kristin Enge</w:t>
      </w:r>
    </w:p>
    <w:p w14:paraId="705B1BD6" w14:textId="77777777" w:rsidR="00B125A8" w:rsidRDefault="00EE25F7">
      <w:pPr>
        <w:pStyle w:val="berschrift1"/>
      </w:pPr>
      <w:bookmarkStart w:id="13" w:name="_Toc226531874"/>
      <w:r>
        <w:lastRenderedPageBreak/>
        <w:t>Weniger Leistung</w:t>
      </w:r>
      <w:r>
        <w:t>en fürs gleiche Geld</w:t>
      </w:r>
      <w:bookmarkEnd w:id="13"/>
    </w:p>
    <w:p w14:paraId="7247E450" w14:textId="77777777" w:rsidR="00B125A8" w:rsidRDefault="00EE25F7">
      <w:pPr>
        <w:pStyle w:val="Vorspann"/>
      </w:pPr>
      <w:r>
        <w:t>Die Leistungen der Pflegeversicherung haben seit 2017 mehr als ein Fünftel ihrer Kaufkraft verloren. Das geht aus einer Antwort der Bundesregierung auf eine Anfrage der Linksfraktion im Bundestag hervor.</w:t>
      </w:r>
    </w:p>
    <w:p w14:paraId="4B0ECFC4" w14:textId="77777777" w:rsidR="00B125A8" w:rsidRDefault="00EE25F7">
      <w:r>
        <w:t xml:space="preserve">Zwar wurde das Pflegegeld 2024 </w:t>
      </w:r>
      <w:r>
        <w:t>um fünf Prozent und 2025 um 4,5 Prozent erhöht, doch es hält mit den wachsenden Kosten schon seit vielen Jahren nicht mehr Schritt. Personen mit Pflegegrad 3 erhielten von 2017 bis 2023 545 Euro Pflegegeld. 2018 lag die dementsprechende Kaufkraft bei umger</w:t>
      </w:r>
      <w:r>
        <w:t>echnet 535 Euro, 2022 waren es 470 Euro. Nach beiden Erhöhungen betrug das Pflegegeld im vergangenen Jahr 599 Euro, war aber nur noch 467Euro wert. Noch stärker ist der Kaufkraftverlust bei den höheren Pflegegraden. Bei Pflegegrad 5 und 901 Euro Pflegegeld</w:t>
      </w:r>
      <w:r>
        <w:t xml:space="preserve"> betrug er 2022 bereits 123 Euro. Obwohl das Pflegegeld 2025 auf 990 Euro erhöht worden ist, lag die Kaufkraft nur noch bei 773 Euro. </w:t>
      </w:r>
    </w:p>
    <w:p w14:paraId="1245720A" w14:textId="77777777" w:rsidR="00B125A8" w:rsidRDefault="00EE25F7">
      <w:r>
        <w:t>Dass die Pflegeversicherung die häusliche Pflege benachteiligt, zeigt eine kürzlich veröffentlichte Analyse der Ruhr-Univ</w:t>
      </w:r>
      <w:r>
        <w:t xml:space="preserve">ersität Bochum. Pflegewissenschaftlerin Prof. Dr. Notburga Ott hat den Pflegeaufwand geschätzt. Sie kommt auf einen durchschnittlichen Zeitaufwand von 49 Stunden pro Woche und hohe Eigenanteile von 7000 Euro und mehr für pflegerische Leistungen, die nicht </w:t>
      </w:r>
      <w:r>
        <w:t xml:space="preserve">von den Pflegekassen übernommen werden.  </w:t>
      </w:r>
      <w:r>
        <w:rPr>
          <w:b/>
        </w:rPr>
        <w:t>ali</w:t>
      </w:r>
    </w:p>
    <w:p w14:paraId="0D34A953" w14:textId="77777777" w:rsidR="00B125A8" w:rsidRDefault="00EE25F7">
      <w:pPr>
        <w:pStyle w:val="berschrift1"/>
      </w:pPr>
      <w:bookmarkStart w:id="14" w:name="_Toc226531875"/>
      <w:r>
        <w:t>„Das unsichtbare Rückgrat der Pflege“</w:t>
      </w:r>
      <w:bookmarkEnd w:id="14"/>
    </w:p>
    <w:p w14:paraId="385097C4" w14:textId="77777777" w:rsidR="00B125A8" w:rsidRDefault="00EE25F7">
      <w:pPr>
        <w:pStyle w:val="Standard-Fett"/>
      </w:pPr>
      <w:r>
        <w:t>Zwischen Bürokratie und Überforderung – VdK: Pflege als Pflichtaufgabe der kommunalen Daseinsvorsorge sicherstellen</w:t>
      </w:r>
    </w:p>
    <w:p w14:paraId="06DB000A" w14:textId="77777777" w:rsidR="00B125A8" w:rsidRDefault="00EE25F7">
      <w:pPr>
        <w:pStyle w:val="Vorspann"/>
      </w:pPr>
      <w:r>
        <w:t>Von insgesamt 5,7 Millionen Pflegebedürftigen wurden im J</w:t>
      </w:r>
      <w:r>
        <w:t>ahr 2023 86 Prozent zu Hause versorgt, viele ohne Pflegedienste. Angehörige, die die Pflege übernehmen, gehen oft an ihre Grenzen und darüber hinaus. Sie brauchen mehr Unterstützung, und zwar direkt vor Ort.</w:t>
      </w:r>
    </w:p>
    <w:p w14:paraId="1A9D3E33" w14:textId="77777777" w:rsidR="00B125A8" w:rsidRDefault="00EE25F7">
      <w:r>
        <w:t>„Wir wurden gezwungenermaßen zu Hochleistungspfl</w:t>
      </w:r>
      <w:r>
        <w:t xml:space="preserve">egern“, erinnert sich Marcel S.* Als sein Vater im Februar 2020 stürzte, zog er sich einen Oberschenkelhalsbruch zu und wurde in Pflegegrad 2 eingestuft. „Was dann folgte, war ein fünfjähriger Kampf“, beschreibt der 40-Jährige die Situation heute. </w:t>
      </w:r>
    </w:p>
    <w:p w14:paraId="1D67F7B5" w14:textId="77777777" w:rsidR="00B125A8" w:rsidRDefault="00EE25F7">
      <w:r>
        <w:t xml:space="preserve">Er und </w:t>
      </w:r>
      <w:r>
        <w:t xml:space="preserve">seine Mutter teilten sich den Haushalt, die Bürokratie und die Pflege – „alles ohne Pause, ohne Ablösung“. In den folgenden Jahren brauchte der Vater immer mehr Unterstützung, bis er </w:t>
      </w:r>
      <w:r>
        <w:lastRenderedPageBreak/>
        <w:t>mit einem Pflegegrad 4 bettlägerig wurde und nach einem Schlaganfall im M</w:t>
      </w:r>
      <w:r>
        <w:t>ärz 2025 zu Hause starb.</w:t>
      </w:r>
    </w:p>
    <w:p w14:paraId="389691AD" w14:textId="77777777" w:rsidR="00B125A8" w:rsidRDefault="00EE25F7">
      <w:pPr>
        <w:pStyle w:val="Zwischentitel"/>
      </w:pPr>
      <w:r>
        <w:t>Individuelle Hilfe</w:t>
      </w:r>
    </w:p>
    <w:p w14:paraId="035F7929" w14:textId="77777777" w:rsidR="00B125A8" w:rsidRDefault="00EE25F7">
      <w:r>
        <w:t>„Allein die Bürokratie war kraftraubend“, erzählt Marcel S. Die verpflichtenden Pflegeberatungen empfand er als oberflächlich und wenig hilfreich. Besonders fehlte ihm und seiner Mutter eine Unterstützung, die ih</w:t>
      </w:r>
      <w:r>
        <w:t>re individuelle Situation berücksichtigte. In der Pflegekasse herrschte oft Ratlosigkeit und Mails blieben unbeantwortet.</w:t>
      </w:r>
    </w:p>
    <w:p w14:paraId="00B7CF2C" w14:textId="77777777" w:rsidR="00B125A8" w:rsidRDefault="00EE25F7">
      <w:r>
        <w:t>Im letzten Jahr der Pflege legte Marcel S. jeden Tag ungefähr fünf Kilometer im Haus zurück, wie ein Schrittzähler zeigte. „Ich schlie</w:t>
      </w:r>
      <w:r>
        <w:t>f oft nur zwei bis drei Stunden in der Nacht“, erzählt er. Doch die Pflege habe absolute Priorität gehabt.</w:t>
      </w:r>
    </w:p>
    <w:p w14:paraId="26938415" w14:textId="77777777" w:rsidR="00B125A8" w:rsidRDefault="00EE25F7">
      <w:r>
        <w:t xml:space="preserve">„Es fehlt an einer soliden Pflegestruktur, die die Pflegebedürftigen und ihre pflegenden Angehörigen gut unterstützt“, stellt VdK-Präsidentin Verena </w:t>
      </w:r>
      <w:r>
        <w:t>Bentele fest. Das derzeitige System weist zu viele Lücken auf, und die Verantwortung zersplittert zwischen den Akteuren – von den Krankenkassen über Bund, Länder und Kommunen bis hin zu den Pflegeeinrichtungen.</w:t>
      </w:r>
    </w:p>
    <w:p w14:paraId="043EDCD8" w14:textId="77777777" w:rsidR="00B125A8" w:rsidRDefault="00EE25F7">
      <w:r>
        <w:t>Laut Barmer-Pflegereport 2025 ist die Zahl de</w:t>
      </w:r>
      <w:r>
        <w:t xml:space="preserve">r Pflegebedürftigen zwischen den Jahren 2015 und 2023 von drei auf 5,7 Millionen Personen angestiegen. Und sie wird aufgrund der demografischen Entwicklung weiter wachsen. „Das zeigt, wie wichtig eine bedarfsgerechte Unterstützung ist“, betont Bentele. </w:t>
      </w:r>
    </w:p>
    <w:p w14:paraId="7AAB06D2" w14:textId="77777777" w:rsidR="00B125A8" w:rsidRDefault="00EE25F7">
      <w:r>
        <w:t>Do</w:t>
      </w:r>
      <w:r>
        <w:t>ch die Sorge um die eigene Pflege im Alter wird größer. Nur 30 Prozent der Menschen in Deutschland halten es für wahrscheinlich, dass sie im Pflegefall gut versorgt werden. Das ist das Ergebnis einer aktuellen, repräsentativen Umfrage, die das Meinungsfors</w:t>
      </w:r>
      <w:r>
        <w:t xml:space="preserve">chungsinstitut YouGov im Auftrag des VdK durchgeführt hat. </w:t>
      </w:r>
    </w:p>
    <w:p w14:paraId="0E319F44" w14:textId="77777777" w:rsidR="00B125A8" w:rsidRDefault="00EE25F7">
      <w:r>
        <w:t>Als alarmierendes Signal für Politik und Gesellschaft wertet der VdK, dass 55 Prozent der Befragten glauben, ihre Pflege wäre in Zukunft nicht gewährleistet. Auf die Frage, wer die Verantwortung d</w:t>
      </w:r>
      <w:r>
        <w:t>afür trägt, dass Menschen die Pflege erhalten, die sie benötigen, sehen 82 Prozent den Staat in der Verantwortung. Zudem spielt die eigene Verantwortung beziehungsweise die der Familie für die Befragten eine große Rolle (72 beziehungsweise 59 Prozent).</w:t>
      </w:r>
    </w:p>
    <w:p w14:paraId="20B79E0A" w14:textId="77777777" w:rsidR="00B125A8" w:rsidRDefault="00EE25F7">
      <w:r>
        <w:t>„Die Menschen erwarten eine starke staatliche, also gesamtgesellschaftliche Absicherung und nicht – wie in den aktuellen Kürzungsdebatten formuliert – den Rückzug“, interpretiert Bentele die Ergebnisse der Umfrage. Die Pflege muss als Pflichtaufgabe der ko</w:t>
      </w:r>
      <w:r>
        <w:t xml:space="preserve">mmunalen Daseinsvorsorge direkt vor Ort angesiedelt werden. </w:t>
      </w:r>
    </w:p>
    <w:p w14:paraId="3F36B129" w14:textId="77777777" w:rsidR="00B125A8" w:rsidRDefault="00EE25F7">
      <w:pPr>
        <w:pStyle w:val="Zwischentitel"/>
      </w:pPr>
      <w:r>
        <w:t>Nah am Menschen</w:t>
      </w:r>
    </w:p>
    <w:p w14:paraId="30374F55" w14:textId="77777777" w:rsidR="00B125A8" w:rsidRDefault="00EE25F7">
      <w:r>
        <w:t>Die Kommunen sind nah am Menschen und können erforderliche Maßnahmen passgenau umsetzen, indem sie Bedarfe ermitteln, vorhandene Angebote koordinieren und, wenn nötig, eigene Stru</w:t>
      </w:r>
      <w:r>
        <w:t xml:space="preserve">kturen aufbauen. Die Hilfe aus einer Hand würde Pflegebedürftige und ihre Angehörigen – das „unsichtbare Rückgrat der Pflege“, wie Marcel S. sie bezeichnet – besser unterstützen und vor Überlastung schützen.  </w:t>
      </w:r>
    </w:p>
    <w:p w14:paraId="54EB36C3" w14:textId="77777777" w:rsidR="00B125A8" w:rsidRDefault="00EE25F7">
      <w:r>
        <w:t>Um die oft angespannte Finanzlage der Kommunen</w:t>
      </w:r>
      <w:r>
        <w:t xml:space="preserve"> nicht zu verschärfen, sollten Bund und Länder die Kosten für die pflegerische Versorgung dauerhaft und vollständig übernehmen. </w:t>
      </w:r>
      <w:r>
        <w:lastRenderedPageBreak/>
        <w:t>Unbürokratisch möglich wäre das beispielsweise durch höhere Zuwendungen im kommunalen Finanzausgleich. Die Pflegekassen würden w</w:t>
      </w:r>
      <w:r>
        <w:t xml:space="preserve">eiterhin Kostenträger für individuelle Leistungen bleiben. </w:t>
      </w:r>
      <w:r>
        <w:rPr>
          <w:b/>
        </w:rPr>
        <w:t>Kristin Enge</w:t>
      </w:r>
    </w:p>
    <w:p w14:paraId="5EA0AA3C" w14:textId="77777777" w:rsidR="00B125A8" w:rsidRDefault="00EE25F7">
      <w:r>
        <w:rPr>
          <w:i/>
        </w:rPr>
        <w:t xml:space="preserve"> * Name der Redaktion bekannt</w:t>
      </w:r>
    </w:p>
    <w:p w14:paraId="54AFA001" w14:textId="77777777" w:rsidR="00B125A8" w:rsidRDefault="00EE25F7">
      <w:pPr>
        <w:pStyle w:val="berschrift1"/>
      </w:pPr>
      <w:bookmarkStart w:id="15" w:name="_Toc226531876"/>
      <w:r>
        <w:t>Honorarkürzung bei Psychotherapeuten</w:t>
      </w:r>
      <w:bookmarkEnd w:id="15"/>
    </w:p>
    <w:p w14:paraId="709A28E4" w14:textId="77777777" w:rsidR="00B125A8" w:rsidRDefault="00EE25F7">
      <w:pPr>
        <w:pStyle w:val="Standard-Fett"/>
      </w:pPr>
      <w:r>
        <w:t>Sozialverband VdK warnt vor Verschlechterung in der Versorgung</w:t>
      </w:r>
    </w:p>
    <w:p w14:paraId="651FAD8F" w14:textId="77777777" w:rsidR="00B125A8" w:rsidRDefault="00EE25F7">
      <w:pPr>
        <w:pStyle w:val="Vorspann"/>
      </w:pPr>
      <w:r>
        <w:t>Der Erweiterte Bewertungsausschuss (EBA) hat beschloss</w:t>
      </w:r>
      <w:r>
        <w:t xml:space="preserve">en, die Vergütung für zentrale psychotherapeutische Leistungen zum 1. April 2026 um 4,5 Prozent zu senken. Der Sozialverband VdK kritisiert die Entscheidung und warnt vor einer Verschlechterung der Versorgung. </w:t>
      </w:r>
    </w:p>
    <w:p w14:paraId="0B52352C" w14:textId="77777777" w:rsidR="00B125A8" w:rsidRDefault="00EE25F7">
      <w:r>
        <w:t>Den Antrag zur Kürzung hatten die Krankenkass</w:t>
      </w:r>
      <w:r>
        <w:t xml:space="preserve">en gestellt, die Kassenärztliche Bundesvereinigung (KBV) hatte ihn abgelehnt. Betroffen von der Entscheidung sind psychotherapeutische Sprechstunden, Akutbehandlungen und genehmigungspflichtige Therapien. </w:t>
      </w:r>
    </w:p>
    <w:p w14:paraId="6BCE93E0" w14:textId="77777777" w:rsidR="00B125A8" w:rsidRDefault="00EE25F7">
      <w:r>
        <w:t>Hintergrund der Entscheidung ist ein Urteil des Bu</w:t>
      </w:r>
      <w:r>
        <w:t>ndessozialgerichts (BSG). Dieses schreibt vor, dass die Vergütung psychotherapeutischer Leistungen auf Angemessenheit überprüft wird. Dabei soll sichergestellt werden, dass Psychotherapeutinnen und -therapeuten ein Mindesthonorar erreichen, das mit den Ert</w:t>
      </w:r>
      <w:r>
        <w:t xml:space="preserve">rägen anderer Facharztgruppen vergleichbar ist. </w:t>
      </w:r>
    </w:p>
    <w:p w14:paraId="6F0BEFBC" w14:textId="77777777" w:rsidR="00B125A8" w:rsidRDefault="00EE25F7">
      <w:pPr>
        <w:pStyle w:val="Zwischentitel"/>
      </w:pPr>
      <w:r>
        <w:t>Zweifelhafte Rechnung</w:t>
      </w:r>
    </w:p>
    <w:p w14:paraId="37F8E6C6" w14:textId="77777777" w:rsidR="00B125A8" w:rsidRDefault="00EE25F7">
      <w:r>
        <w:t>Kritik gibt es daran, wie die Kassen diese Vorgabe des BSG interpretieren. Während das Mindesthonorar eigentlich eine Untergrenze darstellt, versuchen die Kassen laut Bundespsychotherap</w:t>
      </w:r>
      <w:r>
        <w:t>eutenkammer, es als eine Obergrenze zu nutzen. Zudem seien zur Berechnung der neuen Vergütung die durchschnittlichen Facharzteinnahmen aus 2024 herangezogen worden, obwohl zwischenzeitlich eine Erhöhung erfolgt war.</w:t>
      </w:r>
    </w:p>
    <w:p w14:paraId="62BA0DEC" w14:textId="77777777" w:rsidR="00B125A8" w:rsidRDefault="00EE25F7">
      <w:r>
        <w:t xml:space="preserve">Nach Berechnung des GKV-Spitzenverbands </w:t>
      </w:r>
      <w:r>
        <w:t>ergibt sich durch den Beschluss, der auch Zuschläge für die Praxisorganisation vorsieht, für eine durchschnittlich ausgelastete Praxis eine effektive Kürzung von rund 2,3 Prozent.</w:t>
      </w:r>
    </w:p>
    <w:p w14:paraId="16B50854" w14:textId="77777777" w:rsidR="00B125A8" w:rsidRDefault="00EE25F7">
      <w:r>
        <w:t>Der VdK befürchtet, dass sich dadurch die Versorgung verschlechtert. Er warn</w:t>
      </w:r>
      <w:r>
        <w:t>t davor, dass sich das Angebot ambulanter Psychotherapie verringern und Wartezeiten weiter verlängern könnten – insbesondere für gesetzlich Versicherte. Einsparungen bei psychotherapeutischen Leistungen könnten zudem langfristig höhere Gesundheitskosten ve</w:t>
      </w:r>
      <w:r>
        <w:t xml:space="preserve">rursachen. Die Deutsche </w:t>
      </w:r>
      <w:r>
        <w:lastRenderedPageBreak/>
        <w:t xml:space="preserve">Psychotherapeuten-Vereinigung hofft daher, dass das Bundesgesundheitsministerium den Beschluss noch überprüft und ändert. Die KBV hat angekündigt, gegen die Entscheidung zu klagen. </w:t>
      </w:r>
      <w:r>
        <w:rPr>
          <w:b/>
        </w:rPr>
        <w:t>Jörg Ciszewski</w:t>
      </w:r>
    </w:p>
    <w:p w14:paraId="3A0D4014" w14:textId="77777777" w:rsidR="00B125A8" w:rsidRDefault="00EE25F7">
      <w:pPr>
        <w:pStyle w:val="berschrift1"/>
      </w:pPr>
      <w:bookmarkStart w:id="16" w:name="_Toc226531877"/>
      <w:r>
        <w:t>Mehr Prävention nötig</w:t>
      </w:r>
      <w:bookmarkEnd w:id="16"/>
    </w:p>
    <w:p w14:paraId="296016A2" w14:textId="77777777" w:rsidR="00B125A8" w:rsidRDefault="00EE25F7">
      <w:pPr>
        <w:pStyle w:val="Standard-Fett"/>
      </w:pPr>
      <w:r>
        <w:t>Angebote ausba</w:t>
      </w:r>
      <w:r>
        <w:t>uen und Zugang vereinfachen</w:t>
      </w:r>
    </w:p>
    <w:p w14:paraId="665116BF" w14:textId="77777777" w:rsidR="00B125A8" w:rsidRDefault="00EE25F7">
      <w:pPr>
        <w:pStyle w:val="Vorspann"/>
      </w:pPr>
      <w:r>
        <w:t xml:space="preserve">Prävention kann Erkrankungen verhindern oder zumindest hinauszögern. Dennoch werden entsprechende Angebote noch zu wenig genutzt. Der Sozialverband VdK fordert, die Hürden für den Zugang zu senken. </w:t>
      </w:r>
    </w:p>
    <w:p w14:paraId="4FE28BAE" w14:textId="77777777" w:rsidR="00B125A8" w:rsidRDefault="00EE25F7">
      <w:r>
        <w:t>Nur zehn Prozent von rund 300</w:t>
      </w:r>
      <w:r>
        <w:t>0 Personen haben in den vergangenen zwölf Monaten einen Gesundheitskurs vor Ort besucht. Neun Prozent haben einen Online-Kurs oder eine Gesundheits-App ihrer Krankenkasse zur Prävention genutzt. Das ist das Ergebnis einer Umfrage, die das Meinungsforschung</w:t>
      </w:r>
      <w:r>
        <w:t>sinstitut Forsa im Auftrag der Krankenkasse mkk unter rund 3000 Personen ab 18 Jahren zur Prävention durchgeführt hat.</w:t>
      </w:r>
    </w:p>
    <w:p w14:paraId="41157A70" w14:textId="77777777" w:rsidR="00B125A8" w:rsidRDefault="00EE25F7">
      <w:r>
        <w:t>Die Zahlen verdeutlichen nach Ansicht des VdK, dass hier weiterhin ein erheblicher Handlungsbedarf besteht. „Die Lebenserwartung nimmt zu</w:t>
      </w:r>
      <w:r>
        <w:t xml:space="preserve"> und mit ihr auch fortschreitende körperliche und psychische Erkrankungen. Da wird Prävention in unserer Gesellschaft immer wichtiger“, erklärt VdK-Präsidentin Verena Bentele. </w:t>
      </w:r>
    </w:p>
    <w:p w14:paraId="7006E790" w14:textId="77777777" w:rsidR="00B125A8" w:rsidRDefault="00EE25F7">
      <w:r>
        <w:t>Die Forsa-Umfrage zeigt ebenfalls, dass eine Mehrheit der Befragten die Politik</w:t>
      </w:r>
      <w:r>
        <w:t xml:space="preserve"> in der Verantwortung sehen. Etwa zwei Drittel sprechen sich dafür aus, dass staatliche Institutionen – wie etwa die Gesundheitsministerien – Gesundheitsförderung und Prävention stärker in den Fokus nehmen. </w:t>
      </w:r>
    </w:p>
    <w:p w14:paraId="53EE6716" w14:textId="77777777" w:rsidR="00B125A8" w:rsidRDefault="00EE25F7">
      <w:r>
        <w:t>„Prävention muss für alle Menschen einfach zugän</w:t>
      </w:r>
      <w:r>
        <w:t>glich sein“, sagt Bentele. Hausärztinnen und Hausärzte sollten solche Maßnahmen direkt verordnen können, um Patientinnen und Patienten zusätzliche Anträge zu ersparen. Auch präventive Hausbesuche bei älteren Patientinnen und Patienten müssen ermöglicht wer</w:t>
      </w:r>
      <w:r>
        <w:t>den.</w:t>
      </w:r>
    </w:p>
    <w:p w14:paraId="7BF5A6DB" w14:textId="77777777" w:rsidR="00B125A8" w:rsidRDefault="00EE25F7">
      <w:r>
        <w:t>Der VdK fordert, das Angebot zur Gesundheitsförderung in den Kommunen auszuweiten. Bildungs-, Sport-, ambulante Reha-Einrichtungen, Sozial- und Pflegedienste sowie Hausarztpraxen sollten gemeinsam passgenaue individuelle und praxisorientierte Gesundhe</w:t>
      </w:r>
      <w:r>
        <w:t xml:space="preserve">its- und Pflegekonzepte entwickeln. „Die Angebote sollte der Bund finanziell unterstützen und fördern“, sagt Bentele. </w:t>
      </w:r>
      <w:r>
        <w:rPr>
          <w:b/>
        </w:rPr>
        <w:t>ken</w:t>
      </w:r>
    </w:p>
    <w:p w14:paraId="1A0F2708" w14:textId="77777777" w:rsidR="00B125A8" w:rsidRDefault="00EE25F7">
      <w:pPr>
        <w:pStyle w:val="berschrift1"/>
      </w:pPr>
      <w:bookmarkStart w:id="17" w:name="_Toc226531878"/>
      <w:r>
        <w:lastRenderedPageBreak/>
        <w:t>Digitale Akte für Gesundheitsdaten</w:t>
      </w:r>
      <w:bookmarkEnd w:id="17"/>
    </w:p>
    <w:p w14:paraId="525920F7" w14:textId="77777777" w:rsidR="00B125A8" w:rsidRDefault="00EE25F7">
      <w:pPr>
        <w:pStyle w:val="Standard-Fett"/>
      </w:pPr>
      <w:r>
        <w:t>Elektronische Patientenakte soll medizinische Behandlung verbessern, aber Nutzung ist kompliziert u</w:t>
      </w:r>
      <w:r>
        <w:t>nd nicht barrierefrei</w:t>
      </w:r>
    </w:p>
    <w:p w14:paraId="40529360" w14:textId="77777777" w:rsidR="00B125A8" w:rsidRDefault="00EE25F7">
      <w:pPr>
        <w:pStyle w:val="Vorspann"/>
      </w:pPr>
      <w:r>
        <w:t>Die elektronische Patientenakte (ePA) hat großes Potenzial – sie wird aber von vielen Versicherten noch kaum genutzt. Der Sozialverband VdK fordert neben einem starken Datenschutz auch konsequente Barrierefreiheit.</w:t>
      </w:r>
    </w:p>
    <w:p w14:paraId="3AEC9614" w14:textId="77777777" w:rsidR="00B125A8" w:rsidRDefault="00EE25F7">
      <w:r>
        <w:t>94 Prozent der gese</w:t>
      </w:r>
      <w:r>
        <w:t>tzlich Versicherten kennen die ePA. Doch rund 71 Prozent verwalten sie nicht aktiv. Neun Prozent haben Widerspruch gegen die ePA eingelegt oder sie löschen lassen. Das ist das Ergebnis einer repräsentativen Umfrage des Meinungsforschungsinstituts Forsa. Es</w:t>
      </w:r>
      <w:r>
        <w:t xml:space="preserve"> hat 1037 Personen im Auftrag des Verbraucherzentrale Bundesverbands (vzbv) befragt.</w:t>
      </w:r>
    </w:p>
    <w:p w14:paraId="21464CB1" w14:textId="77777777" w:rsidR="00B125A8" w:rsidRDefault="00EE25F7">
      <w:r>
        <w:t xml:space="preserve">„Die elektronische Patientenakte ist noch nicht im Alltag der Menschen angekommen“, stellt Ramona Pop, Vorständin des vzbv fest. Laut Umfrage haben sich drei Viertel noch </w:t>
      </w:r>
      <w:r>
        <w:t xml:space="preserve">nicht mit der ePA auseinandergesetzt. Jede und jeder Dritte sieht keinen persönlichen Nutzen in der digitalen Akte. Und rund 13 Prozent haben Bedenken wegen des Datenschutzes. </w:t>
      </w:r>
    </w:p>
    <w:p w14:paraId="20F8EA75" w14:textId="77777777" w:rsidR="00B125A8" w:rsidRDefault="00EE25F7">
      <w:pPr>
        <w:pStyle w:val="Zwischentitel"/>
      </w:pPr>
      <w:r>
        <w:t>Einrichtung erleichtern</w:t>
      </w:r>
    </w:p>
    <w:p w14:paraId="08476146" w14:textId="77777777" w:rsidR="00B125A8" w:rsidRDefault="00EE25F7">
      <w:r>
        <w:t>Der vzbv hat auch Erfahrungsberichte von Verbraucherinnen und Verbrauchern ausgewertet. Demnach war vor allem der komplizierte und unübersichtliche Einrichtungsprozess der ePA eine Hürde für die Nutzung. Zudem wurden der Mangel an Unterstützung und Informa</w:t>
      </w:r>
      <w:r>
        <w:t xml:space="preserve">tion durch die Krankenkassen sowie die Regelung des Datenzugriffs kritisiert. Es zeigte sich auch, dass manche Arztpraxen die ePA nicht nutzen oder relevante Daten nicht hochladen. Bislang bleibe die ePA hinter den Erwartungen zurück, so Pop. </w:t>
      </w:r>
    </w:p>
    <w:p w14:paraId="356B7AF2" w14:textId="77777777" w:rsidR="00B125A8" w:rsidRDefault="00EE25F7">
      <w:r>
        <w:t xml:space="preserve">Der VdK </w:t>
      </w:r>
      <w:r>
        <w:t xml:space="preserve">sieht in der digitalen Akte, in der etwa Arztbriefe, Befunde und Medikationspläne gespeichert werden können, eine große Chance, um Patientinnen und Patienten gezielter zu versorgen. Mit ihr können Ärztinnen und Ärzte alle wichtigen Gesundheitsdaten sofort </w:t>
      </w:r>
      <w:r>
        <w:t>abrufen. Doppelte Untersuchungen lassen sich vermeiden und Wechselwirkungen von Medikamenten besser kontrollieren. Besonders für ältere und chronisch kranke Menschen kann dies den Alltag erleichtern und die Behandlung sicherer machen.</w:t>
      </w:r>
    </w:p>
    <w:p w14:paraId="77585873" w14:textId="77777777" w:rsidR="00B125A8" w:rsidRDefault="00EE25F7">
      <w:r>
        <w:t>Der vzbv bemängelt, d</w:t>
      </w:r>
      <w:r>
        <w:t>ass nach wie vor zentrale Funktionen, wie etwa digitale Impf- oder Bonushefte, fehlen. Die Umfrage habe gezeigt, dass sich Verbraucherinnen und Verbraucher wünschen, in der ePA genau festlegen zu können, wer welche Daten sehen darf. Sie legen Wert auf digi</w:t>
      </w:r>
      <w:r>
        <w:t xml:space="preserve">tale Untersuchungshefte, Hinweise zu Wechselwirkungen von Medikamenten und erforderliche Impfungen. </w:t>
      </w:r>
    </w:p>
    <w:p w14:paraId="13461902" w14:textId="77777777" w:rsidR="00B125A8" w:rsidRDefault="00EE25F7">
      <w:pPr>
        <w:pStyle w:val="Zwischentitel"/>
      </w:pPr>
      <w:r>
        <w:t>Nicht barrierefrei</w:t>
      </w:r>
    </w:p>
    <w:p w14:paraId="033A247E" w14:textId="77777777" w:rsidR="00B125A8" w:rsidRDefault="00EE25F7">
      <w:r>
        <w:lastRenderedPageBreak/>
        <w:t xml:space="preserve">Der VdK kritisiert vor allem, dass die ePA nicht barrierefrei ist. „Dieser Mangel muss endlich behoben werden“, fordert VdK-Präsidentin </w:t>
      </w:r>
      <w:r>
        <w:t>Verena Bentele. Es fehlt unter anderem an der Kompatibilität mit Screenreadern, leichter Sprache, assistiven Technologien und einer niedrigschwelligen Benutzerführung. All dies schließt viele Menschen mit Behinderung von der Nutzung aus, erschwert aber auc</w:t>
      </w:r>
      <w:r>
        <w:t xml:space="preserve">h älteren oder wenig technikaffinen Personen den Zugang. </w:t>
      </w:r>
    </w:p>
    <w:p w14:paraId="6896A32E" w14:textId="77777777" w:rsidR="00B125A8" w:rsidRDefault="00EE25F7">
      <w:pPr>
        <w:pStyle w:val="Zwischentitel"/>
      </w:pPr>
      <w:r>
        <w:t>Kassen verpflichten</w:t>
      </w:r>
    </w:p>
    <w:p w14:paraId="75FEF866" w14:textId="77777777" w:rsidR="00B125A8" w:rsidRDefault="00EE25F7">
      <w:r>
        <w:t>Daher ist es aus Sicht des VdK notwendig, die Krankenkassen zur barrierefreien Gestaltung der ePA zu verpflichten. Denkbar sind etwa barrierefreie Webportale oder ausgedruckte Üb</w:t>
      </w:r>
      <w:r>
        <w:t>ersichten. „Alle Versicherten müssen ihre Gesundheitsdaten verstehen und nutzen können – unabhängig von Behinderung, Alter oder vorhandener Technik“, so Bentele.</w:t>
      </w:r>
    </w:p>
    <w:p w14:paraId="518C45FB" w14:textId="77777777" w:rsidR="00B125A8" w:rsidRDefault="00EE25F7">
      <w:r>
        <w:t>Der VdK sieht die Digitalisierung im Gesundheitswesen grundsätzlich positiv. Sie sollte dazu f</w:t>
      </w:r>
      <w:r>
        <w:t>ühren, Informationsflüsse zu optimieren und die Versorgung besser zu koordinieren. Aber immer muss sie barrierefrei, nutzerfreundlich und datenschutzkonform erfolgen. Analoge Alternativen müssen für jene bleiben, die sie aufgrund fehlender digitaler Kompet</w:t>
      </w:r>
      <w:r>
        <w:t xml:space="preserve">enzen oder Zugänge benötigen. „Digitale Angebote können eine moderne Versorgung unterstützen – aber sie dürfen niemanden ausschließen. Entscheidend ist, dass alle Menschen sie selbstbestimmt, verständlich und ohne Barrieren nutzen können“, sagt Bentele. </w:t>
      </w:r>
      <w:r>
        <w:rPr>
          <w:b/>
        </w:rPr>
        <w:t>Kr</w:t>
      </w:r>
      <w:r>
        <w:rPr>
          <w:b/>
        </w:rPr>
        <w:t>istin Enge</w:t>
      </w:r>
    </w:p>
    <w:p w14:paraId="0D65A1CD" w14:textId="77777777" w:rsidR="00B125A8" w:rsidRDefault="00EE25F7">
      <w:pPr>
        <w:pStyle w:val="berschrift1"/>
      </w:pPr>
      <w:bookmarkStart w:id="18" w:name="_Toc226531879"/>
      <w:r>
        <w:t>Gut leben trotz chronischer Erkrankung</w:t>
      </w:r>
      <w:bookmarkEnd w:id="18"/>
    </w:p>
    <w:p w14:paraId="0EFCF35E" w14:textId="77777777" w:rsidR="00B125A8" w:rsidRDefault="00EE25F7">
      <w:pPr>
        <w:pStyle w:val="Standard-Fett"/>
      </w:pPr>
      <w:r>
        <w:t>Selbstmanagementkurse sollen Betroffene dabei unterstützen, ihre Lebensqualität dauerhaft zu verbessern</w:t>
      </w:r>
    </w:p>
    <w:p w14:paraId="191111FA" w14:textId="77777777" w:rsidR="00B125A8" w:rsidRDefault="00EE25F7">
      <w:pPr>
        <w:pStyle w:val="Vorspann"/>
      </w:pPr>
      <w:r>
        <w:t>INSEA steht für „Initiative für Selbstmanagement und aktives Leben“. Es handelt sich dabei um ein gesu</w:t>
      </w:r>
      <w:r>
        <w:t xml:space="preserve">ndheitsbezogenes Selbstmanagement-Programm, das an der US-Universität Stanford entwickelt und in Deutschland von der Medizinischen Hochschule Hannover begleitet wurde. </w:t>
      </w:r>
    </w:p>
    <w:p w14:paraId="3EEB5978" w14:textId="77777777" w:rsidR="00B125A8" w:rsidRDefault="00EE25F7">
      <w:r>
        <w:t>INSEA-Kurse werden seit dem Jahr 2025 von der neuen Bundeskoordination unter dem Dach d</w:t>
      </w:r>
      <w:r>
        <w:t xml:space="preserve">er Deutschen Arbeitsgemeinschaft Selbsthilfegruppen organisiert. Sie werden im Feld der gemeinschaftlichen Selbsthilfe angeboten: bundesweit an elf Standorten vor Ort und online. Die Kurse finden über sechs Wochen einmal wöchentlich für 2,5 Stunden statt. </w:t>
      </w:r>
    </w:p>
    <w:p w14:paraId="65D42C87" w14:textId="77777777" w:rsidR="00B125A8" w:rsidRDefault="00EE25F7">
      <w:r>
        <w:t>Sie sind kostenfrei und richten sich an Menschen mit einer chronischen Erkrankung, ihre Angehörigen und Freunde. Diese stehen häufig vor besonderen Herausforderungen, weil die Krankheit den Alltag dauerhaft beeinflusst. Viele erleben psychische Belastunge</w:t>
      </w:r>
      <w:r>
        <w:t xml:space="preserve">n, ziehen sich zurück oder fühlen sich nicht in der Lage, Verhaltensweisen zu ändern und alltägliche Dinge wie früher zu tun. </w:t>
      </w:r>
    </w:p>
    <w:p w14:paraId="17BD3261" w14:textId="77777777" w:rsidR="00B125A8" w:rsidRDefault="00EE25F7">
      <w:pPr>
        <w:pStyle w:val="Zwischentitel"/>
      </w:pPr>
      <w:r>
        <w:lastRenderedPageBreak/>
        <w:t>Verschiedene Diagnosen</w:t>
      </w:r>
    </w:p>
    <w:p w14:paraId="504265F7" w14:textId="77777777" w:rsidR="00B125A8" w:rsidRDefault="00EE25F7">
      <w:r>
        <w:t>Mit solchen Situationen ist auch Simone Hoffmann in ihrer Arbeit häufig konfrontiert. Seit mehr als zehn J</w:t>
      </w:r>
      <w:r>
        <w:t>ahren leitet sie diese Kurse für chronisch Erkrankte und deren Angehörige. Die 64-jährige Sozialpädagogin koordiniert die Kurse des Selbsthilfebüros Main-Spessart des Bayerischen Roten Kreuzes. In den INSEA-Kursen treffen Teilnehmerinnen und Teilnehmer mit</w:t>
      </w:r>
      <w:r>
        <w:t xml:space="preserve"> ganz unterschiedlichen Diagnosen aufeinander – von Krebs über Rheuma bis hin zu Multipler Sklerose oder Bewegungseinschränkungen. Was sie verbindet, ist die herausfordernde Erfahrung, ihren Alltag mit einer chronischen Erkrankung zu gestalten. Ziel der Ku</w:t>
      </w:r>
      <w:r>
        <w:t>rse ist es, ihnen Möglichkeiten aufzuzeigen, wie sie Dinge tun können, die sie machen möchten, um Lebensqualität zurückzugewinnen.</w:t>
      </w:r>
    </w:p>
    <w:p w14:paraId="1E4E8D73" w14:textId="77777777" w:rsidR="00B125A8" w:rsidRDefault="00EE25F7">
      <w:pPr>
        <w:pStyle w:val="Zwischentitel"/>
      </w:pPr>
      <w:r>
        <w:t>Wiederkehrende Themen</w:t>
      </w:r>
    </w:p>
    <w:p w14:paraId="46952AA7" w14:textId="77777777" w:rsidR="00B125A8" w:rsidRDefault="00EE25F7">
      <w:r>
        <w:t xml:space="preserve">Alle INSEA-Kurse werden nach einem strukturierten Ablauf durchgeführt. „Wir sprechen zum Beispiel über </w:t>
      </w:r>
      <w:r>
        <w:t xml:space="preserve">den Umgang mit Schmerzen, ausgewogene Ernährung, Entspannungsübungen, Bewegung, Selbstmotivation, aber auch über einen gesunden Schlaf und gute Kommunikation“, berichtet Hoffmann. </w:t>
      </w:r>
    </w:p>
    <w:p w14:paraId="63921325" w14:textId="77777777" w:rsidR="00B125A8" w:rsidRDefault="00EE25F7">
      <w:r>
        <w:t>Mit den Teilnehmenden werden Handlungspläne entwickelt, die ihnen helfen, s</w:t>
      </w:r>
      <w:r>
        <w:t>elbstgesteckte und einfach umsetzbare Ziele mit Freude und Zuversicht zu erreichen. Da gehe es oft auch um ganz praktische Fragen, so Hoffmann: „Wie kann ich erreichen, regelmäßig körperlich aktiv zu sein oder wie gelingt es mir, regelmäßig gesunde Mahlzei</w:t>
      </w:r>
      <w:r>
        <w:t xml:space="preserve">ten zuzubereiten?“ </w:t>
      </w:r>
    </w:p>
    <w:p w14:paraId="75F56168" w14:textId="77777777" w:rsidR="00B125A8" w:rsidRDefault="00EE25F7">
      <w:r>
        <w:t xml:space="preserve"> An den INSEA-Kursen nehmen in der Regel 10 bis 15 Personen teil. Durch den Austausch untereinander entstehen Ideen, die helfen, eigene Ziele zu erreichen. „Teilnehmende rufen sich gegenseitig an, unterstützen ihre Handlungspläne und fr</w:t>
      </w:r>
      <w:r>
        <w:t>eunden sich teilweise langfristig an“, erzählt Hoffmann. Nach dem Kursende verweist sie auf weiterführende Angebote wie Selbsthilfegruppen, Wassergymnastik oder auf Angebote des Sozialverbands VdK.</w:t>
      </w:r>
    </w:p>
    <w:p w14:paraId="61A6D35B" w14:textId="77777777" w:rsidR="00B125A8" w:rsidRDefault="00EE25F7">
      <w:pPr>
        <w:pStyle w:val="Zwischentitel"/>
      </w:pPr>
      <w:r>
        <w:t>Gemeinschaft finden</w:t>
      </w:r>
    </w:p>
    <w:p w14:paraId="58073E92" w14:textId="77777777" w:rsidR="00B125A8" w:rsidRDefault="00EE25F7">
      <w:r>
        <w:t xml:space="preserve">Wichtig ist, dass die Teilnehmerinnen </w:t>
      </w:r>
      <w:r>
        <w:t>und Teilnehmer durch die Gruppe neuen Mut fassen und erkennen, dass sie ihr Leben trotz chronischer Krankheit aktiv gestalten können. „INSEA-Kurse bieten die Möglichkeit, sich weiter zu vernetzen und in Selbsthilfestrukturen eine dauerhafte Gemeinschaft zu</w:t>
      </w:r>
      <w:r>
        <w:t xml:space="preserve"> finden“, sagt Hoffmann. </w:t>
      </w:r>
      <w:r>
        <w:rPr>
          <w:b/>
        </w:rPr>
        <w:t>Jörg Ciszewski</w:t>
      </w:r>
    </w:p>
    <w:p w14:paraId="28F85230" w14:textId="77777777" w:rsidR="00B125A8" w:rsidRDefault="00EE25F7">
      <w:pPr>
        <w:pStyle w:val="berschrift1"/>
      </w:pPr>
      <w:bookmarkStart w:id="19" w:name="_Toc226531880"/>
      <w:r>
        <w:t>Wo Suchtpolitik in Deutschland versagt</w:t>
      </w:r>
      <w:bookmarkEnd w:id="19"/>
    </w:p>
    <w:p w14:paraId="5975CB89" w14:textId="77777777" w:rsidR="00B125A8" w:rsidRDefault="00EE25F7">
      <w:pPr>
        <w:pStyle w:val="Standard-Fett"/>
      </w:pPr>
      <w:r>
        <w:t>Abhängigkeit kostet die Gesellschaft jährlich mehr als 130 Milliarden Euro</w:t>
      </w:r>
    </w:p>
    <w:p w14:paraId="170E2748" w14:textId="77777777" w:rsidR="00B125A8" w:rsidRDefault="00EE25F7">
      <w:pPr>
        <w:pStyle w:val="Vorspann"/>
      </w:pPr>
      <w:r>
        <w:lastRenderedPageBreak/>
        <w:t>Im Alltag gönnen sich viele Menschen ab und zu eine Zigarette, einen Longdrink oder einen Abend im Spi</w:t>
      </w:r>
      <w:r>
        <w:t>elcasino – Aktivitäten, die oft nur als vergnügliche Freizeitgestaltung gelten. Sobald jedoch aus gelegentlichem Genuss eine unkontrollierbare Sucht wird, leiden  die Betroffenen gesundheitlich und finanziell. Die gesamte Gesellschaft trägt dann die Konseq</w:t>
      </w:r>
      <w:r>
        <w:t>uenzen.</w:t>
      </w:r>
    </w:p>
    <w:p w14:paraId="1505A6D6" w14:textId="77777777" w:rsidR="00B125A8" w:rsidRDefault="00EE25F7">
      <w:r>
        <w:t xml:space="preserve">Schätzungen zufolge leiden in Deutschland mehr als acht Millionen Menschen an einer Sucht. Die Folgen spiegeln sich in enormen Kosten für das Gesundheitssystem, sozialer Unterstützung und Produktivitätsverlusten wider. </w:t>
      </w:r>
    </w:p>
    <w:p w14:paraId="14DE23A1" w14:textId="77777777" w:rsidR="00B125A8" w:rsidRDefault="00EE25F7">
      <w:r>
        <w:t>Fachverbände wie die Bundesä</w:t>
      </w:r>
      <w:r>
        <w:t xml:space="preserve">rztekammer, die Deutsche Gesellschaft für Kinder- und Jugendpsychiatrie sowie mehrere Suchtpräventionsorganisationen fordern daher, die gesetzlichen Regelungen für Werbung und Besteuerung von Suchtmitteln und Glücksspiel an den neuesten wissenschaftlichen </w:t>
      </w:r>
      <w:r>
        <w:t>Erkenntnissen auszurichten.</w:t>
      </w:r>
    </w:p>
    <w:p w14:paraId="2909A0B2" w14:textId="77777777" w:rsidR="00B125A8" w:rsidRDefault="00EE25F7">
      <w:r>
        <w:t>Nach Berechnungen der Verbände belaufen sich die Steuer-einnahmen aus Tabak, Alkohol und Glücksspiel auf rund 23,8 Milliarden Euro, während die gesamtgesellschaftlichen Folgekosten bei etwa 161,2 Milliarden Euro liegen. Das Defi</w:t>
      </w:r>
      <w:r>
        <w:t>zit von mehr als 136 Milliarden trägt die Allgemeinheit.</w:t>
      </w:r>
    </w:p>
    <w:p w14:paraId="716691E5" w14:textId="77777777" w:rsidR="00B125A8" w:rsidRDefault="00EE25F7">
      <w:r>
        <w:t>Allein der Tabakkonsum verursacht in Deutschland jährlich etwa 97,2 Milliarden Euro an direkten und indirekten Kosten, etwa durch medizinische Behandlung, Pflegebedarf und Produktivitätsverluste. Dem</w:t>
      </w:r>
      <w:r>
        <w:t xml:space="preserve"> stehen Steuereinnahmen von rund 15,6 Milliarden Euro gegenüber.</w:t>
      </w:r>
    </w:p>
    <w:p w14:paraId="06F7F81B" w14:textId="77777777" w:rsidR="00B125A8" w:rsidRDefault="00EE25F7">
      <w:pPr>
        <w:pStyle w:val="Zwischentitel"/>
      </w:pPr>
      <w:r>
        <w:t>Kritik der WHO</w:t>
      </w:r>
    </w:p>
    <w:p w14:paraId="71F5C54C" w14:textId="77777777" w:rsidR="00B125A8" w:rsidRDefault="00EE25F7">
      <w:r>
        <w:t xml:space="preserve">Im internationalen Vergleich zeigt sich, dass Deutschland bei der Regulierung von Werbung für Alkohol, Tabak und Glücksspiel deutliche Lücken aufweist, besonders im </w:t>
      </w:r>
      <w:r>
        <w:t>Bereich digitaler undinfluencerbasierter Marketingstrategien. Auch die Besteuerung gilt im europäischen Vergleich als relativ niedrig. Die Weltgesundheitsorganisation (WHO) empfiehlt umfassende Beschränkungen von Alkoholmarketing sowie höhere Steuern als e</w:t>
      </w:r>
      <w:r>
        <w:t xml:space="preserve">ffektive Maßnahmen der Suchtprävention und zum Schutz der öffentlichen Gesundheit. </w:t>
      </w:r>
      <w:r>
        <w:rPr>
          <w:b/>
        </w:rPr>
        <w:t>Robert Manu</w:t>
      </w:r>
    </w:p>
    <w:p w14:paraId="7C9EFC3A" w14:textId="77777777" w:rsidR="00B125A8" w:rsidRDefault="00EE25F7">
      <w:pPr>
        <w:pStyle w:val="berschrift1"/>
      </w:pPr>
      <w:bookmarkStart w:id="20" w:name="_Toc226531881"/>
      <w:r>
        <w:t>Zecken stechen ganzjährig zu</w:t>
      </w:r>
      <w:bookmarkEnd w:id="20"/>
    </w:p>
    <w:p w14:paraId="7A3F3494" w14:textId="77777777" w:rsidR="00B125A8" w:rsidRDefault="00EE25F7">
      <w:pPr>
        <w:pStyle w:val="Standard-Fett"/>
      </w:pPr>
      <w:r>
        <w:t>Sehr viele FSME-Erkrankungen im Jahr 2025</w:t>
      </w:r>
    </w:p>
    <w:p w14:paraId="65D1072D" w14:textId="77777777" w:rsidR="00B125A8" w:rsidRDefault="00EE25F7">
      <w:pPr>
        <w:pStyle w:val="Vorspann"/>
      </w:pPr>
      <w:r>
        <w:t>Zecken sind mittlerweile oft das ganze Jahr über aktiv und überleben mildere Winter. Forsc</w:t>
      </w:r>
      <w:r>
        <w:t>hende der Universität Hohenheim gehen davon aus, dass es im Jahr 2025 einen Rekord an FSME-Infektionen gab.</w:t>
      </w:r>
    </w:p>
    <w:p w14:paraId="1F0D3B77" w14:textId="77777777" w:rsidR="00B125A8" w:rsidRDefault="00EE25F7">
      <w:r>
        <w:t xml:space="preserve">Mit der gestiegenen Verbreitung und Aktivität der Zecken nimmt auch die Zahl der Personen zu, die an der von Zecken übertragenen Hirnhautentzündung </w:t>
      </w:r>
      <w:r>
        <w:t xml:space="preserve">(FSME) erkranken. Das Jahr 2025 könnte sogar einen Rekordwert erreicht haben: „Die Auswertungen laufen noch, aber es ist jetzt schon abzusehen, dass wir die schon sehr hohen Zahlen von 2024 im vergangenen Jahr </w:t>
      </w:r>
      <w:r>
        <w:lastRenderedPageBreak/>
        <w:t>übertroffen haben werden“, berichtet Professor</w:t>
      </w:r>
      <w:r>
        <w:t xml:space="preserve"> Gerhard Dobler. Der Mikrobiologe leitet das nationale Konsiliarlabor für FSME. Der Experte arbeitet eng mit der Universität Hohenheim zusammen. Er hat unter anderem die Aufgabe, unklare FSME-Diagnosen zu überprüfen. Für das Jahr 2025 sind bislang mehr als</w:t>
      </w:r>
      <w:r>
        <w:t xml:space="preserve"> 693 Erkrankungsfälle registriert. Hinzu kommen 100 Verdachtsfälle, die derzeit geprüft werden. </w:t>
      </w:r>
    </w:p>
    <w:p w14:paraId="59AF1035" w14:textId="77777777" w:rsidR="00B125A8" w:rsidRDefault="00EE25F7">
      <w:pPr>
        <w:pStyle w:val="Zwischentitel"/>
      </w:pPr>
      <w:r>
        <w:t>Viele sind gewandert</w:t>
      </w:r>
    </w:p>
    <w:p w14:paraId="2C0DA223" w14:textId="77777777" w:rsidR="00B125A8" w:rsidRDefault="00EE25F7">
      <w:r>
        <w:t xml:space="preserve">Im Jahr 2024 hatte das Robert-Koch-Institut (RKI) bundesweit 695 bestätigte Fälle von FSME erfasst. Der höchste Wert wurde bisher mit 704 </w:t>
      </w:r>
      <w:r>
        <w:t>FSME-Erkrankungen im Jahr 2020 gemessen. Als eine Erklärung für diesen Wert gilt, dass während der Pandemie zahlreiche Freizeitangebote geschlossen waren. Deshalb gingen viele Menschen im Wald spazieren oder wandern, also genau in den Lebensraum der Zecken</w:t>
      </w:r>
      <w:r>
        <w:t>.</w:t>
      </w:r>
    </w:p>
    <w:p w14:paraId="2211ED3C" w14:textId="77777777" w:rsidR="00B125A8" w:rsidRDefault="00EE25F7">
      <w:r>
        <w:t xml:space="preserve">Baden-Württemberg und Bayern liegen mit etwa 85 Prozent der Krankheitsmeldungen an der Spitze der FSME-Risikogebiete. Ein ansteigender Trend auf niedrigem Niveau ist aber in allen Bundesländern zu erkennen. </w:t>
      </w:r>
    </w:p>
    <w:p w14:paraId="24C6EC71" w14:textId="77777777" w:rsidR="00B125A8" w:rsidRDefault="00EE25F7">
      <w:r>
        <w:t>Den besten Schutz gegen FSME bieten Impfungen.</w:t>
      </w:r>
      <w:r>
        <w:t xml:space="preserve"> Laut RKI waren 99 Prozent der Erkrankten nicht geimpft. </w:t>
      </w:r>
      <w:r>
        <w:rPr>
          <w:b/>
        </w:rPr>
        <w:t>cis</w:t>
      </w:r>
    </w:p>
    <w:p w14:paraId="7E697620" w14:textId="77777777" w:rsidR="00B125A8" w:rsidRDefault="00EE25F7">
      <w:pPr>
        <w:pStyle w:val="berschrift1"/>
      </w:pPr>
      <w:bookmarkStart w:id="21" w:name="_Toc226531882"/>
      <w:r>
        <w:t>Bei Diabetes sind nicht alle gleich</w:t>
      </w:r>
      <w:bookmarkEnd w:id="21"/>
    </w:p>
    <w:p w14:paraId="2EE5A9FB" w14:textId="77777777" w:rsidR="00B125A8" w:rsidRDefault="00EE25F7">
      <w:pPr>
        <w:pStyle w:val="Standard-Fett"/>
      </w:pPr>
      <w:r>
        <w:t>Wie der Umgang mit der Erkrankung gelingt, hängt von verschiedenen Faktoren ab</w:t>
      </w:r>
    </w:p>
    <w:p w14:paraId="3BB6BB81" w14:textId="77777777" w:rsidR="00B125A8" w:rsidRDefault="00EE25F7">
      <w:pPr>
        <w:pStyle w:val="Vorspann"/>
      </w:pPr>
      <w:r>
        <w:t>Diabetes ist eine Volkskrankheit. Doch die medizinische Versorgung in Deutschlan</w:t>
      </w:r>
      <w:r>
        <w:t xml:space="preserve">d ist äußerst unterschiedlich. Sie hängt ab vom Wohnort, vom Bildungsstand, vom Geschlecht sowie von der digitalen Kompetenz. </w:t>
      </w:r>
    </w:p>
    <w:p w14:paraId="6C441BFA" w14:textId="77777777" w:rsidR="00B125A8" w:rsidRDefault="00EE25F7">
      <w:r>
        <w:t>Die Deutsche Diabetes Gesellschaft (DDG) hat in ihrer Jahrespressekonferenz auf die Benachteiligung von an Diabetes erkrankten Pe</w:t>
      </w:r>
      <w:r>
        <w:t>rsonen in vielen Bereichen hingewiesen. So sind beispielsweise bestimmte Berufe für Erkrankte mit Insulinpflicht weiterhin ausgeschlossen, obwohl moderne Therapien das Risiko schwerer Unterzuckerungen deutlich gesenkt haben: beispielsweise bei der Polizei,</w:t>
      </w:r>
      <w:r>
        <w:t xml:space="preserve"> der Bundeswehr und der Luft- und Seefahrt.</w:t>
      </w:r>
    </w:p>
    <w:p w14:paraId="0BF2370A" w14:textId="77777777" w:rsidR="00B125A8" w:rsidRDefault="00EE25F7">
      <w:r>
        <w:t>Eine große Rolle beim Risiko, an Typ-2-Diabetes zu erkranken, kommt dem Wohnort zu, betont Professor Dr. Baptist Gallwitz, Mediensprecher der DDG. In Regionen mit niedrigem Durchschnittseinkommen und hoher Arbeit</w:t>
      </w:r>
      <w:r>
        <w:t>slosigkeit, in denen die Kommunen knapp bei Kasse und die Umweltbelastungen hoch sind, entwickeln die Menschen häufiger eine chronische, nicht ansteckende Erkrankung. Die Wahrscheinlichkeit, dass es sich dabei um eine Erkrankung des Zuckerstoffwechsels han</w:t>
      </w:r>
      <w:r>
        <w:t xml:space="preserve">delt, liegt um 20 Prozent höher. </w:t>
      </w:r>
    </w:p>
    <w:p w14:paraId="66363FCA" w14:textId="77777777" w:rsidR="00B125A8" w:rsidRDefault="00EE25F7">
      <w:r>
        <w:lastRenderedPageBreak/>
        <w:t>Ein weiterer wichtiger Faktor ist der Bildungsstand: Laut Studien sind Personen mit niedrigen Bildungsabschlüssen zwei- bis dreimal häufiger von einer bekannten oder unerkannten Diabetes betroffen als die mit höheren Absch</w:t>
      </w:r>
      <w:r>
        <w:t>lüssen. Auch die Gefahr, innerhalb der nächsten fünf Jahre zu erkranken, liegt bei ihnen höher. Mit Diabetes Typ 2 eng verbunden ist ein deutlich erhöhtes Sterberisiko sowie eine verminderte Lebenserwartung um sechs bis zwölf Jahre.</w:t>
      </w:r>
    </w:p>
    <w:p w14:paraId="4A3A1B53" w14:textId="77777777" w:rsidR="00B125A8" w:rsidRDefault="00EE25F7">
      <w:r>
        <w:t>Jedes Jahr nimmt die Za</w:t>
      </w:r>
      <w:r>
        <w:t>hl der  Diabetes-Patientinnen und -Patienten um rund 450 000 zu, insbesondere bei der Altersgruppe 50plus und bei jungen Menschen. Gallwitz fordert umfassende Präventionsmaßnahmen, um diese Entwicklung zu stoppen.</w:t>
      </w:r>
    </w:p>
    <w:p w14:paraId="32370B0E" w14:textId="77777777" w:rsidR="00B125A8" w:rsidRDefault="00EE25F7">
      <w:pPr>
        <w:pStyle w:val="Zwischentitel"/>
      </w:pPr>
      <w:r>
        <w:t>Kein Wissensdefizit</w:t>
      </w:r>
    </w:p>
    <w:p w14:paraId="04AFF201" w14:textId="77777777" w:rsidR="00B125A8" w:rsidRDefault="00EE25F7">
      <w:r>
        <w:t>Die chronische Stoffwe</w:t>
      </w:r>
      <w:r>
        <w:t>chselerkrankung äußert sich bei Frauen anders als bei Männern. Zwar ähneln sich die Symptome, doch die Erkrankung wird bei Frauen im Frühstadium oft nicht entdeckt, da die Tests nicht anschlagen. Das ist gefährlich, weil die Gefahr, eine Herz-Kreislauf-Erk</w:t>
      </w:r>
      <w:r>
        <w:t xml:space="preserve">rankung zu bekommen, bei ihnen wesentlich größer ist. Auch die Medikation der Arzneimittel ist problematisch (siehe Artikel unten). </w:t>
      </w:r>
    </w:p>
    <w:p w14:paraId="6CE3C2A3" w14:textId="77777777" w:rsidR="00B125A8" w:rsidRDefault="00EE25F7">
      <w:r>
        <w:t>„Biologische Unterschiede, lebensphasenspezifische Risiken und Versorgungsbrüche führen dazu, dass Frauen mit Diabetes häuf</w:t>
      </w:r>
      <w:r>
        <w:t>ig später diagnostiziert, anders behandelt und in Risikosituationen nicht ausreichend begleitet werden“, betont Prof. Dr. Julia Szendrödi, Vizepräsidentin der DDG. „Das ist kein Wissensdefizit. Es ist ein Umsetzungsdefizit.“</w:t>
      </w:r>
    </w:p>
    <w:p w14:paraId="78AEE2D8" w14:textId="77777777" w:rsidR="00B125A8" w:rsidRDefault="00EE25F7">
      <w:r>
        <w:t>Zu einem guten Umgang mit einer</w:t>
      </w:r>
      <w:r>
        <w:t xml:space="preserve"> Diabeteserkrankung gehört  das Datenmanagement. Moderne Therapien setzen auf Insulinpumpen, automatische Glukosemessung und Alarmfunktion bei Unterzuckerung. „Wir sehen täglich, dass digitale Tools die Therapietreue verbessern und individualisierte Unters</w:t>
      </w:r>
      <w:r>
        <w:t xml:space="preserve">tützung bieten“, sagt Dr. Tobias Wiesner, Vizepräsident der DDG. </w:t>
      </w:r>
    </w:p>
    <w:p w14:paraId="68416D94" w14:textId="77777777" w:rsidR="00B125A8" w:rsidRDefault="00EE25F7">
      <w:pPr>
        <w:pStyle w:val="Zwischentitel"/>
      </w:pPr>
      <w:r>
        <w:t>Digital abgehängt</w:t>
      </w:r>
    </w:p>
    <w:p w14:paraId="3115C35F" w14:textId="77777777" w:rsidR="00B125A8" w:rsidRDefault="00EE25F7">
      <w:r>
        <w:t xml:space="preserve">Doch nicht alle Patientinnen und Patienten freuen sich über die Technik. Es gibt auch viele, die davon überfordert sind. Die Digitalisierung des Gesundheitssystems droht, nicht technikaffine Personen und solche, die sich diese Geräte nicht leisten können, </w:t>
      </w:r>
      <w:r>
        <w:t xml:space="preserve">abzuhängen. </w:t>
      </w:r>
    </w:p>
    <w:p w14:paraId="2AF4EFFA" w14:textId="77777777" w:rsidR="00B125A8" w:rsidRDefault="00EE25F7">
      <w:r>
        <w:t>Wiesner warnt vor der Entstehung einer digitalen Kluft: „Menschen mit Diabetes, die nicht an der Digitalisierung teilnehmen wollen, sollten ein Recht auf analoge Teilhabe, Freiheit von digitalem Zwang und Schutz vor technologischer Diskriminie</w:t>
      </w:r>
      <w:r>
        <w:t xml:space="preserve">rung in der Diabetesversorgung erhalten“, fordert er. </w:t>
      </w:r>
    </w:p>
    <w:p w14:paraId="11A702D8" w14:textId="77777777" w:rsidR="00B125A8" w:rsidRDefault="00EE25F7">
      <w:r>
        <w:t>Dazu gehört laut DDG auch ein einfacher Zugang zur elektronischen Patientenakte (ePA). Gesundheitsdaten wie Medikationspläne oder Befunde sollten bei jedem Arztbesuch verfügbar sein – auch wenn Betroff</w:t>
      </w:r>
      <w:r>
        <w:t xml:space="preserve">ene die Anwendung selbst nicht aktiv nutzen. </w:t>
      </w:r>
      <w:r>
        <w:rPr>
          <w:b/>
        </w:rPr>
        <w:t>Annette Liebmann</w:t>
      </w:r>
    </w:p>
    <w:p w14:paraId="4F24D4B6" w14:textId="77777777" w:rsidR="00B125A8" w:rsidRDefault="00EE25F7">
      <w:pPr>
        <w:pStyle w:val="berschrift1"/>
      </w:pPr>
      <w:bookmarkStart w:id="22" w:name="_Toc226531883"/>
      <w:r>
        <w:t>Überdosierung und Nebenwirkungen</w:t>
      </w:r>
      <w:bookmarkEnd w:id="22"/>
    </w:p>
    <w:p w14:paraId="53012574" w14:textId="77777777" w:rsidR="00B125A8" w:rsidRDefault="00EE25F7">
      <w:pPr>
        <w:pStyle w:val="Standard-Fett"/>
      </w:pPr>
      <w:r>
        <w:t>Viele Medikamente wirken bei Frauen völlig anders</w:t>
      </w:r>
    </w:p>
    <w:p w14:paraId="6E06BD16" w14:textId="77777777" w:rsidR="00B125A8" w:rsidRDefault="00EE25F7">
      <w:pPr>
        <w:pStyle w:val="Vorspann"/>
      </w:pPr>
      <w:r>
        <w:lastRenderedPageBreak/>
        <w:t>Wenn Frauen und Männer das gleiche Medikament gegen die gleiche Erkrankung nehmen, kann es dennoch völlig unter</w:t>
      </w:r>
      <w:r>
        <w:t>schiedlich wirken. Dr. Barbara Puhahn-Schmeiser, Co-Präsidentin des Deutschen Ärztinnenbunds, erläutert, warum das so ist.</w:t>
      </w:r>
    </w:p>
    <w:p w14:paraId="1390EF0E" w14:textId="77777777" w:rsidR="00B125A8" w:rsidRDefault="00EE25F7">
      <w:r>
        <w:t>„Frauen leiden über alle Altersgruppen hinweg häufiger unter Nebenwirkungen von Medikamenten, und das hat mehrere gut belegte Gründe“, sagt die Fachärztin für Neurochirurgie an der Universitätsklinik Freiburg. Durch einen höheren Körperfettanteil und wenig</w:t>
      </w:r>
      <w:r>
        <w:t>er Körperwasser verändert sich die Verteilung und Konzentration von Medikamenten im Körper. Zudem werden einige Wirkstoffe langsamer abgebaut. Auch Hormone spielen eine Rolle. Hinzu kommt, dass viele Medikamente nur an Männern getestet und auf sie zugeschn</w:t>
      </w:r>
      <w:r>
        <w:t xml:space="preserve">itten sind. Hormonelle Schwankungen werden meist nicht berücksichtigt. </w:t>
      </w:r>
    </w:p>
    <w:p w14:paraId="3A2F9B84" w14:textId="77777777" w:rsidR="00B125A8" w:rsidRDefault="00EE25F7">
      <w:r>
        <w:t>„Die Folge ist, dass Dosierungsempfehlungen oft auf männlichen Körperparametern beruhen“, betont Puhahn-Schmeiser. „Für viele Frauen bedeutet das: Sie sind faktisch überdosiert – und d</w:t>
      </w:r>
      <w:r>
        <w:t>as Risiko für Nebenwirkungen steigt.“ In der Praxis führe das dazu, dass Frauen häufiger Therapien abbrechen oder zusätzliche Medikamente benötigen, um unerwünschte Symptome abzufangen. Weil die Datenlage für Frauen dünner ist, bestehe gleichzeitig die Gef</w:t>
      </w:r>
      <w:r>
        <w:t xml:space="preserve">ahr, dass wirksamere Alternativen übersehen werden. </w:t>
      </w:r>
    </w:p>
    <w:p w14:paraId="4F6DEFF8" w14:textId="77777777" w:rsidR="00B125A8" w:rsidRDefault="00EE25F7">
      <w:pPr>
        <w:pStyle w:val="Zwischentitel"/>
      </w:pPr>
      <w:r>
        <w:t>Vorsicht bei Schlafmitteln</w:t>
      </w:r>
    </w:p>
    <w:p w14:paraId="479BCED7" w14:textId="77777777" w:rsidR="00B125A8" w:rsidRDefault="00EE25F7">
      <w:r>
        <w:t>Viele kritische Wirkstoffe haben ein enges therapeutisches Zeitfenster oder werden hauptsächlich  über die Leber abgebaut. „Dazu gehören etwa Schlafmittel wie Zolpidem, bestimm</w:t>
      </w:r>
      <w:r>
        <w:t>te Herzmedikamente, Psychopharmaka oder Opioide“, zählt die Expertin auf. Bei Frauen verweilen diese Medikamente länger im Körper. Aufgrund hormoneller Schwankungen kann es zudem vorkommen, dass Schmerzmittel und Psychopharmaka stärker wirken. Auch Betäubu</w:t>
      </w:r>
      <w:r>
        <w:t xml:space="preserve">ngsmittel und einige Chemotherapeutika können unerwartete Effekte zeigen. </w:t>
      </w:r>
    </w:p>
    <w:p w14:paraId="3F5AEE77" w14:textId="77777777" w:rsidR="00B125A8" w:rsidRDefault="00EE25F7">
      <w:r>
        <w:t>Puhahn-Schmeiser rät Patientinnen, bei der Ärztin oder dem Arzt nachzufragen und aktiv mitzuentscheiden, ob sie das Mittel einnehmen möchten. „Es ist völlig legitim, sich erklären z</w:t>
      </w:r>
      <w:r>
        <w:t>u lassen, warum genau dieses Präparat gewählt wurde, ob es geschlechtsspezifische Unterschiede in der Verträglichkeit gibt, und ob eine niedrigere Einstiegsdosis sinnvoll wäre“, bekräftigt sie. Nach Therapiebeginn sollten die Patientinnen auf mögliche Nebe</w:t>
      </w:r>
      <w:r>
        <w:t xml:space="preserve">nwirkungen achten und frühzeitig ihre Ärztin oder ihren Arzt informieren.   </w:t>
      </w:r>
      <w:r>
        <w:rPr>
          <w:b/>
        </w:rPr>
        <w:t>Annette Liebmann</w:t>
      </w:r>
    </w:p>
    <w:p w14:paraId="1E7B1556" w14:textId="77777777" w:rsidR="00B125A8" w:rsidRDefault="00EE25F7">
      <w:pPr>
        <w:pStyle w:val="berschrift1"/>
      </w:pPr>
      <w:bookmarkStart w:id="23" w:name="_Toc226531884"/>
      <w:r>
        <w:t>Divertikeln vorbeugen</w:t>
      </w:r>
      <w:bookmarkEnd w:id="23"/>
    </w:p>
    <w:p w14:paraId="72EE505E" w14:textId="77777777" w:rsidR="00B125A8" w:rsidRDefault="00EE25F7">
      <w:pPr>
        <w:pStyle w:val="Standard-Fett"/>
      </w:pPr>
      <w:r>
        <w:t xml:space="preserve">Ballaststoffe sind Schlüssel zur Darmgesundheit </w:t>
      </w:r>
    </w:p>
    <w:p w14:paraId="3B8E14F8" w14:textId="77777777" w:rsidR="00B125A8" w:rsidRDefault="00EE25F7">
      <w:pPr>
        <w:pStyle w:val="Vorspann"/>
      </w:pPr>
      <w:r>
        <w:t>Viele Menschen haben Darmdivertikel. Fast die Hälfte der über 70-Jährigen ist davon betroffe</w:t>
      </w:r>
      <w:r>
        <w:t xml:space="preserve">n. Da sie manchmal Beschwerden verursachen, ist es besser, ihrer Entstehung vorzubeugen – mit einer ballaststoffreichen Ernährung. </w:t>
      </w:r>
    </w:p>
    <w:p w14:paraId="54C73A72" w14:textId="77777777" w:rsidR="00B125A8" w:rsidRDefault="00EE25F7">
      <w:r>
        <w:lastRenderedPageBreak/>
        <w:t>Divertikel im Darm sind Ausstülpungen, die sich besonders oft in der Darmschleimhaut des Dickdarms bilden. Sie können Bauchs</w:t>
      </w:r>
      <w:r>
        <w:t>chmerzen, Blähungen oder Blutungen verursachen und sich auch entzünden, sind oft aber symptomlos und werden meist zufällig bei einer Darmspiegelung entdeckt.</w:t>
      </w:r>
    </w:p>
    <w:p w14:paraId="7A1A04C6" w14:textId="77777777" w:rsidR="00B125A8" w:rsidRDefault="00EE25F7">
      <w:r>
        <w:t>Auslösende Faktoren können eine erblich bedingte Anfälligkeit, ein geschwächtes Bindegewebe,  Über</w:t>
      </w:r>
      <w:r>
        <w:t xml:space="preserve">gewicht oder eine ballaststoffarme Ernährung sein. Wer sich also gesund ernährt, kann in einem gewissen Maße Divertikeln vorbeugen und das Risiko für eine spätere Entzündung (Divertikulitis) mindern. </w:t>
      </w:r>
    </w:p>
    <w:p w14:paraId="53360635" w14:textId="77777777" w:rsidR="00B125A8" w:rsidRDefault="00EE25F7">
      <w:r>
        <w:t>Ballaststoffe sind für den Darm wichtig. Sie binden Was</w:t>
      </w:r>
      <w:r>
        <w:t>ser, machen den Stuhl weicher und verringern dadurch den Druck auf die Darmwand. Gute Quellen sind Vollkornprodukte, Hülsenfrüchte, Gemüse, Obst und Nüsse. Zudem sollte ausreichend getrunken werden, am besten Wasser oder ungesüßter Tee, damit Ballaststoffe</w:t>
      </w:r>
      <w:r>
        <w:t xml:space="preserve"> im Darm optimal quellen können. Bewegung regt die Darmtätigkeit zusätzlich an. Auch Entspannungsübungen sind hilfreich. </w:t>
      </w:r>
      <w:r>
        <w:rPr>
          <w:b/>
        </w:rPr>
        <w:t>pet</w:t>
      </w:r>
    </w:p>
    <w:p w14:paraId="5A98F6D8" w14:textId="77777777" w:rsidR="00B125A8" w:rsidRDefault="00EE25F7">
      <w:pPr>
        <w:pStyle w:val="berschrift1"/>
      </w:pPr>
      <w:bookmarkStart w:id="24" w:name="_Toc226531885"/>
      <w:r>
        <w:t>Junge Menschen vor dem Hass im Internet schützen</w:t>
      </w:r>
      <w:bookmarkEnd w:id="24"/>
    </w:p>
    <w:p w14:paraId="3942A345" w14:textId="77777777" w:rsidR="00B125A8" w:rsidRDefault="00EE25F7">
      <w:pPr>
        <w:pStyle w:val="Standard-Fett"/>
      </w:pPr>
      <w:r>
        <w:t>Expertin: Unkontrollierter Konsum von sozialen Medien kann Ängste, Depressionen un</w:t>
      </w:r>
      <w:r>
        <w:t>d Panikattacken auslösen oder verstärken</w:t>
      </w:r>
    </w:p>
    <w:p w14:paraId="4C7E6FFF" w14:textId="77777777" w:rsidR="00B125A8" w:rsidRDefault="00EE25F7">
      <w:pPr>
        <w:pStyle w:val="Vorspann"/>
      </w:pPr>
      <w:r>
        <w:t>Hass und Bedrohungen greifen im Internet um sich. Die VdK-Zeitung spricht mit Anna-Lena von Hodenberg darüber, warum das so ist und wie ein Social-Media-Verbot Kinder und Jugendliche davor schützen könnte. Von Hoden</w:t>
      </w:r>
      <w:r>
        <w:t>berg ist Mitbegründerin der gemeinnützigen GmbH HateAid, die sich gegen digitale Gewalt im Netz einsetzt.</w:t>
      </w:r>
    </w:p>
    <w:p w14:paraId="299B72FD" w14:textId="77777777" w:rsidR="00B125A8" w:rsidRDefault="00EE25F7">
      <w:pPr>
        <w:pStyle w:val="Interview-Frage"/>
      </w:pPr>
      <w:r>
        <w:t>Welche Gefahren gehen von den sozialen Medien aus?</w:t>
      </w:r>
    </w:p>
    <w:p w14:paraId="4B971639" w14:textId="77777777" w:rsidR="00B125A8" w:rsidRDefault="00EE25F7">
      <w:r>
        <w:t>Soziale Medien können wichtig zur Pflege sozialer Kontakte und der gesellschaftlichen Teilhabe sein</w:t>
      </w:r>
      <w:r>
        <w:t xml:space="preserve">. Die Realität ist aber ernüchternd: Menschen sind dort regelmäßig digitaler Gewalt wie Beleidigungen oder Morddrohungen zum Beispiel gegen Juden oder Frauen, aber auch gefährlichen Falschinformationen ausgesetzt. </w:t>
      </w:r>
    </w:p>
    <w:p w14:paraId="7E3C5907" w14:textId="77777777" w:rsidR="00B125A8" w:rsidRDefault="00EE25F7">
      <w:r>
        <w:t xml:space="preserve">Das liegt daran, dass vor allem Inhalte, </w:t>
      </w:r>
      <w:r>
        <w:t>die Wut oder Angst auslösen und uns stark emotionalisieren, von den Algorithmen der Plattformen besonders vielen Menschen ausgespielt werden. Solche Inhalte liken, teilen und kommentieren wir besonders oft und bleiben so länger auf den Plattformen. Das ste</w:t>
      </w:r>
      <w:r>
        <w:t xml:space="preserve">igert wiederum deren Profit. Süchtig machende Elemente kommen dazu, sodass wir vor lauter swipen das Handy kaum weglegen können. Mit Folgen: Die WHO </w:t>
      </w:r>
      <w:r>
        <w:lastRenderedPageBreak/>
        <w:t>warnt vor einem Anstieg psychischer Erkrankungen durch intensiven Social-Media-Konsum. Vor allem für Kinder</w:t>
      </w:r>
      <w:r>
        <w:t>- und Jugendliche ist das brandgefährlich – am Ende betrifft es aber uns alle.</w:t>
      </w:r>
    </w:p>
    <w:p w14:paraId="6C3056F4" w14:textId="77777777" w:rsidR="00B125A8" w:rsidRDefault="00EE25F7">
      <w:pPr>
        <w:pStyle w:val="Interview-Frage"/>
      </w:pPr>
      <w:r>
        <w:t>Befürworten Sie ein Verbot von Social Media für junge Menschen?</w:t>
      </w:r>
    </w:p>
    <w:p w14:paraId="1584C0C2" w14:textId="77777777" w:rsidR="00B125A8" w:rsidRDefault="00EE25F7">
      <w:r>
        <w:t>Solange Plattformen Kinder und Jugendliche ungeschützt lassen und das bestehende EU-Recht, das Schutzmaßnahmen ex</w:t>
      </w:r>
      <w:r>
        <w:t>plizit vorschreibt, nicht durchgesetzt wird, bleibt nur ein Verbot. Es ist ein letzter Ausweg, um unsere Kinder und Jugendlichen zu schützen. Denn Studien zeigen, dass gerade bei ihnen Depressionen, Panikattacken, Ängste und Magersucht durch den gestiegene</w:t>
      </w:r>
      <w:r>
        <w:t xml:space="preserve">n Konsum von sozialen Medien verstärkt oder sogar ausgelöst werden können. Wir sehen auch gerade bei Jugendlichen eine zunehmende Radikalisierung durch islamistische oder rechtsextremistische Akteure. Dass wir dringend handeln müssen, ist klar.  </w:t>
      </w:r>
    </w:p>
    <w:p w14:paraId="20E39E88" w14:textId="77777777" w:rsidR="00B125A8" w:rsidRDefault="00EE25F7">
      <w:r>
        <w:t>Das eigen</w:t>
      </w:r>
      <w:r>
        <w:t>tliche Ziel muss sein, sichere Plattformen und ein sicheres Online-Umfeld zu schaffen. Denn die psychischen und gesellschaftlichen Folgen der Big-Tech-Plattformen und ihrer manipulativen Algorithmen treffen nicht nur Minderjährige, sondern sie verändern un</w:t>
      </w:r>
      <w:r>
        <w:t>s als Gesellschaft.</w:t>
      </w:r>
    </w:p>
    <w:p w14:paraId="574588E4" w14:textId="77777777" w:rsidR="00B125A8" w:rsidRDefault="00EE25F7">
      <w:pPr>
        <w:pStyle w:val="Interview-Frage"/>
      </w:pPr>
      <w:r>
        <w:t>Ab welchem Alter wäre ein Verbot Ihrer Meinung nach sinnvoll?</w:t>
      </w:r>
    </w:p>
    <w:p w14:paraId="21A18997" w14:textId="77777777" w:rsidR="00B125A8" w:rsidRDefault="00EE25F7">
      <w:r>
        <w:t>Das müssen wir differenziert betrachten. Ähnlich wie bei Filmen oder Videospielen empfiehlt die Wissenschaft graduelle Altersgrenzen, die sich nach den Inhalten und Sicherhei</w:t>
      </w:r>
      <w:r>
        <w:t>tsstandards der Plattformen richten. So könnten Kinder in geschützten und streng kontrollierten Online-Räumen, die auch die Nutzungszeiten automatisch beschränken, den richtigen Umgang mit sozialen Medien erlernen. Später wären sie dann in der Lage, sich e</w:t>
      </w:r>
      <w:r>
        <w:t>inen speziellen Teen-Account zu erstellen, der sie zum Beispiel vor Online-Grooming, also sexuellen Übergriffen durch Erwachsene im Internet, schützt. Dafür braucht es aber verlässliche Alterskontrollen und klare europäische Regeln.</w:t>
      </w:r>
    </w:p>
    <w:p w14:paraId="4D283BDF" w14:textId="77777777" w:rsidR="00B125A8" w:rsidRDefault="00EE25F7">
      <w:pPr>
        <w:pStyle w:val="Interview-Frage"/>
      </w:pPr>
      <w:r>
        <w:t>Welche anderen Lösungen</w:t>
      </w:r>
      <w:r>
        <w:t xml:space="preserve"> oder Alternativen sehen Sie, um junge Menschen zu schützen?</w:t>
      </w:r>
    </w:p>
    <w:p w14:paraId="1B8DC7EF" w14:textId="77777777" w:rsidR="00B125A8" w:rsidRDefault="00EE25F7">
      <w:r>
        <w:t>Aktuell bestimmt das Profitinteresse der Tech-Konzerne über das Design und die Funktionsweise der großen Social-Media-Plattformen. Doch gemeinwohlorientierte Alternativen wie Mastodon und kinderg</w:t>
      </w:r>
      <w:r>
        <w:t>erechte Plattformen wie NYZZU zeigen, dass es auch anders geht: Datenschutz statt Totalüberwachung, Freunde statt Follower. Wir brauchen Plattformen, die so konzipiert sind, dass die Sicherheit und das Wohlbefinden der Kinder an erster Stelle steht. Es mus</w:t>
      </w:r>
      <w:r>
        <w:t>s schon in der Konzeption der Plattform und bei jedem neuen Feature immer mitgedacht werden. Expertinnen und Experten sprechen hierbei vom „Safety by Design“-Prinzip. Nur auf diese Weise schaffen wir einen langfristigen Schutz.</w:t>
      </w:r>
    </w:p>
    <w:p w14:paraId="293BE136" w14:textId="77777777" w:rsidR="00B125A8" w:rsidRDefault="00EE25F7">
      <w:pPr>
        <w:pStyle w:val="Interview-Frage"/>
      </w:pPr>
      <w:r>
        <w:t xml:space="preserve"> Interview: Jörg Ciszewski</w:t>
      </w:r>
    </w:p>
    <w:p w14:paraId="793B8FBC" w14:textId="77777777" w:rsidR="00B125A8" w:rsidRDefault="00EE25F7">
      <w:pPr>
        <w:pStyle w:val="berschrift1"/>
      </w:pPr>
      <w:bookmarkStart w:id="25" w:name="_Toc226531886"/>
      <w:r>
        <w:lastRenderedPageBreak/>
        <w:t>Z</w:t>
      </w:r>
      <w:r>
        <w:t>wischen Erinnerung und Realität</w:t>
      </w:r>
      <w:bookmarkEnd w:id="25"/>
    </w:p>
    <w:p w14:paraId="7D060532" w14:textId="77777777" w:rsidR="00B125A8" w:rsidRDefault="00EE25F7">
      <w:pPr>
        <w:pStyle w:val="Standard-Fett"/>
      </w:pPr>
      <w:r>
        <w:t>Westalgie: Wie der Mythos einer besseren Vergangenheit unser Bewusstsein prägt</w:t>
      </w:r>
    </w:p>
    <w:p w14:paraId="6B025090" w14:textId="77777777" w:rsidR="00B125A8" w:rsidRDefault="00EE25F7">
      <w:pPr>
        <w:pStyle w:val="Vorspann"/>
      </w:pPr>
      <w:r>
        <w:t xml:space="preserve">Nostalgie zeigt sich oft als Verklärung der Vergangenheit, als Erinnerung an vermeintlich bessere Zeiten mit mehr Sicherheit, besserem Essen und </w:t>
      </w:r>
      <w:r>
        <w:t>freundlicheren Menschen. So beschwört die Westalgie die „gute alte“ Bundesrepublik als ein goldenes Zeitalter wirtschaftlichen Wohlstands, sozialer Sicherheit und kultureller Unbeschwertheit, lange vor den „Schrecken“ der Globalisierung und Digitalisierung</w:t>
      </w:r>
      <w:r>
        <w:t>.</w:t>
      </w:r>
    </w:p>
    <w:p w14:paraId="52D998D3" w14:textId="77777777" w:rsidR="00B125A8" w:rsidRDefault="00EE25F7">
      <w:r>
        <w:t xml:space="preserve">Die sozialen Medien sind voll von Videos mit Straßenszenen aus den 1970er- und 1980er-Jahren: bunte Autos auf breiten Straßen, graue Fassaden und scheinbar ruhige Innenstädte. Auch Ausschnitte aus damaligen Fernsehsendungen oder bekannten Serien </w:t>
      </w:r>
      <w:r>
        <w:t>werden gezeigt. Titelmelodien und Figuren aus der Popkultur, etwa aus Kinderserien wie „Biene Maja“, dienen als nostalgische Symbole dieser Zeit.</w:t>
      </w:r>
    </w:p>
    <w:p w14:paraId="00C8C1E1" w14:textId="77777777" w:rsidR="00B125A8" w:rsidRDefault="00EE25F7">
      <w:r>
        <w:t>Wie schön empfinden doch viele Menschen im Rückblick das Leben in der alten „Bonner Republik“, in einer übersc</w:t>
      </w:r>
      <w:r>
        <w:t>haubaren und stabilen Gesellschaft, in der das Leben um so vieles einfacher und berechenbarer war als heutzutage – zumindest in der Erinnerung. Denn im Rückblick erscheint manches rosiger, als es in Wirklichkeit war. Doch wie fing das ganze eigentlich hist</w:t>
      </w:r>
      <w:r>
        <w:t>orisch an?</w:t>
      </w:r>
    </w:p>
    <w:p w14:paraId="30C28571" w14:textId="77777777" w:rsidR="00B125A8" w:rsidRDefault="00EE25F7">
      <w:r>
        <w:t>Den Begriff der Nostalgie prägte der Medizinstudent Johannes Hofer Ende des 17. Jahrhunderts. In seiner Dissertation von 1688 beschrieb er damit ein krank machendes Heimweh, das insbesondere Schweizer Söldner befiel, die fern ihrer Heimat statio</w:t>
      </w:r>
      <w:r>
        <w:t xml:space="preserve">niert waren und sich nach ihrer vertrauten Bergwelt sehnten. Das Wort Nostalgie setzt sich aus den griechischen Wörtern nostos (Heimkehr) und algos (Schmerz) zusammen und bezeichnete somit ursprünglich den „Schmerz der Heimkehr“. </w:t>
      </w:r>
    </w:p>
    <w:p w14:paraId="31861C71" w14:textId="77777777" w:rsidR="00B125A8" w:rsidRDefault="00EE25F7">
      <w:r>
        <w:t>Im Laufe der Jahrhunderte</w:t>
      </w:r>
      <w:r>
        <w:t xml:space="preserve"> wandelte sich die Bedeutung des Wortes: Aus einer medizinischen Diagnose wurde zunehmend ein psychologischer und kultureller Begriff. Heute versteht man unter Nostalgie weniger die Sehnsucht nach einem konkreten Ort als vielmehr eine emotionale Rückbesinn</w:t>
      </w:r>
      <w:r>
        <w:t>ung auf eine vergangene, oft idealisierte Zeit. Doch die Erinnerung trügt oft.</w:t>
      </w:r>
    </w:p>
    <w:p w14:paraId="00FDD89C" w14:textId="77777777" w:rsidR="00B125A8" w:rsidRDefault="00EE25F7">
      <w:pPr>
        <w:pStyle w:val="Zwischentitel"/>
      </w:pPr>
      <w:r>
        <w:t>Genau hingesehen</w:t>
      </w:r>
    </w:p>
    <w:p w14:paraId="256B8153" w14:textId="77777777" w:rsidR="00B125A8" w:rsidRDefault="00EE25F7">
      <w:r>
        <w:t xml:space="preserve">Eine repräsentative Umfrage des ARD-Politikmagazins „Kontraste“ ergab, dass 52 Prozent der Menschen in Deutschland glauben, das Leben in der Bundesrepublik der </w:t>
      </w:r>
      <w:r>
        <w:t>1980er-Jahre sei besser gewesen als heute. Besonders ausgeprägt ist diese Ansicht bei Personen mit niedrigerem Bildungsstand sowie bei Befragten über 50 Jahren, so das Meinungsforschungsinstitut infratest dimap. Zudem zeigt sich, dass häufiger Personen, di</w:t>
      </w:r>
      <w:r>
        <w:t xml:space="preserve">e eher rechts wählen, nostalgisch auf die 1980er-Jahre zurückblicken. In der Medizin sind heute Behandlungsmethoden selbstverständlich, die damals entweder noch nicht oder nur sehr begrenzt verfügbar waren – </w:t>
      </w:r>
      <w:r>
        <w:lastRenderedPageBreak/>
        <w:t>etwa moderne bildgebende Verfahren wie MRT, mini</w:t>
      </w:r>
      <w:r>
        <w:t>malinvasive Operationstechniken oder deutlich verbesserte Therapien bei Herzinfarkt und Krebs. Diese medizinischen Fortschritte tragen entscheidend dazu bei, dass Krankheiten heute häufiger überlebt werden und dadurch Menschen länger leben.</w:t>
      </w:r>
    </w:p>
    <w:p w14:paraId="284D022B" w14:textId="77777777" w:rsidR="00B125A8" w:rsidRDefault="00EE25F7">
      <w:r>
        <w:t>Im Vergleich zu</w:t>
      </w:r>
      <w:r>
        <w:t xml:space="preserve">m Jahr 1980 werden die Menschen in Deutschland heute durchschnittlich fast acht Jahre älter. Zudem starben hierzulande damals etwa 12,6 von 1000 Kindern im ersten Lebensjahr, heute sind es rund drei Todesfälle pro 1000 Geburten. </w:t>
      </w:r>
    </w:p>
    <w:p w14:paraId="2D58EB03" w14:textId="77777777" w:rsidR="00B125A8" w:rsidRDefault="00EE25F7">
      <w:r>
        <w:t>Auch rechtlich lag vor ein</w:t>
      </w:r>
      <w:r>
        <w:t>igen Jahrzehnten vieles im Argen: Erst seit dem Jahr 1997 steht Vergewaltigung in der Ehe ausdrücklich unter Strafe. Der Paragraph 175, der männliche Homosexualität kriminalisierte, wurde im wiedervereinten Deutschland Mitte 1994 abgeschafft.</w:t>
      </w:r>
    </w:p>
    <w:p w14:paraId="473C9F31" w14:textId="77777777" w:rsidR="00B125A8" w:rsidRDefault="00EE25F7">
      <w:r>
        <w:t>Der nostalgis</w:t>
      </w:r>
      <w:r>
        <w:t>che Blick verklärt häufig die Vergangenheit. Die „gute alte Zeit“ war in vielerlei Hinsicht weniger gesund, weniger gleichberechtigt, weniger sicher und weniger wohlhabend. Die Fakten zeigen: Nicht alles war früher schlechter, aber vieles war einfacher – w</w:t>
      </w:r>
      <w:r>
        <w:t>enn auch oft auf Kosten von Freiheit und Gerechtigkeit.</w:t>
      </w:r>
    </w:p>
    <w:p w14:paraId="7BB3F11D" w14:textId="77777777" w:rsidR="00B125A8" w:rsidRDefault="00EE25F7">
      <w:r>
        <w:rPr>
          <w:b/>
        </w:rPr>
        <w:t>Robert Manu</w:t>
      </w:r>
    </w:p>
    <w:p w14:paraId="4135EF54" w14:textId="77777777" w:rsidR="00B125A8" w:rsidRDefault="00EE25F7">
      <w:pPr>
        <w:pStyle w:val="berschrift1"/>
      </w:pPr>
      <w:bookmarkStart w:id="26" w:name="_Toc226531887"/>
      <w:r>
        <w:t>Neue Poststationen sind barrierefrei</w:t>
      </w:r>
      <w:bookmarkEnd w:id="26"/>
    </w:p>
    <w:p w14:paraId="4D2B44DA" w14:textId="77777777" w:rsidR="00B125A8" w:rsidRDefault="00EE25F7">
      <w:pPr>
        <w:pStyle w:val="Standard-Fett"/>
      </w:pPr>
      <w:r>
        <w:t>Screenreader-Funktion mit Sprachausgabe und Kopfhöreranschluss</w:t>
      </w:r>
    </w:p>
    <w:p w14:paraId="0FFD4926" w14:textId="77777777" w:rsidR="00B125A8" w:rsidRDefault="00EE25F7">
      <w:pPr>
        <w:pStyle w:val="Vorspann"/>
      </w:pPr>
      <w:r>
        <w:t>Der Sozialverband VdK setzt sich für ein gutes Postfilialnetz ein. Dort, wo es keine Fil</w:t>
      </w:r>
      <w:r>
        <w:t xml:space="preserve">iale mehr gibt, muss es barrierefreie Alternativen geben, Briefe zu verschicken oder Pakete abzuholen. Die neue Poststation zeigt, dass das möglich ist. </w:t>
      </w:r>
    </w:p>
    <w:p w14:paraId="02EBE424" w14:textId="77777777" w:rsidR="00B125A8" w:rsidRDefault="00EE25F7">
      <w:r>
        <w:t xml:space="preserve">Die Post hat in den vergangenen Jahren ihr Filialnetz im ländlichen Raum deutlich </w:t>
      </w:r>
      <w:r>
        <w:t>ausgedünnt. Das Unternehmen begründet dies damit, dass es vor Ort immer seltener potenzielle Partner der Post gibt, weil auch der Einzelhandel sich aus der Fläche zurückgezogen hat.</w:t>
      </w:r>
    </w:p>
    <w:p w14:paraId="2E9BE86F" w14:textId="77777777" w:rsidR="00B125A8" w:rsidRDefault="00EE25F7">
      <w:r>
        <w:t>Vor rund 20 Jahren hat die Post begonnen, Packstationen aufzustellen. Dort</w:t>
      </w:r>
      <w:r>
        <w:t xml:space="preserve"> können Kundinnen und Kunden Pakete empfangen und verschicken. Seit gut einem Jahr gibt es nun auch sogenannte Poststationen. Neben dem Versand von Briefen und Paketen lassen sich dort Brief- und Paketmarken kaufen. Die Bezahlung erfolgt bargeldlos. Wer Un</w:t>
      </w:r>
      <w:r>
        <w:t xml:space="preserve">terstützung benötigt, kann bei den Poststationen per Videochat mit der Kundenberatung sprechen. </w:t>
      </w:r>
    </w:p>
    <w:p w14:paraId="2E30BC60" w14:textId="77777777" w:rsidR="00B125A8" w:rsidRDefault="00EE25F7">
      <w:r>
        <w:t>Von den bundesweit rund 1000 Poststationen sind etwa 180 barrierefrei. Seit Sommer 2025 hat DHL ausschließlich barrierefreie Stationen aufgestellt. Damit trägt</w:t>
      </w:r>
      <w:r>
        <w:t xml:space="preserve"> das Unternehmen dem Barrierefreiheitsstärkungsgesetz Rechnung. Darin heißt es, dass ab 2025 digitale Bedienterminals barrierefrei gestaltet sein müssen. Die neuen Poststationen verfügen über Displays mit anpassbarer Schrift- größe, eine Screenreader-Funkt</w:t>
      </w:r>
      <w:r>
        <w:t xml:space="preserve">ion mit Sprachausgabe, einen </w:t>
      </w:r>
      <w:r>
        <w:lastRenderedPageBreak/>
        <w:t>Kopfhöreranschluss für Hörgeschädigte sowie höhenverstellbare Bedienfelder. Es gibt außerdem Paket- fächer, die leicht erreichbar sind.</w:t>
      </w:r>
    </w:p>
    <w:p w14:paraId="1EB77563" w14:textId="77777777" w:rsidR="00B125A8" w:rsidRDefault="00EE25F7">
      <w:pPr>
        <w:pStyle w:val="Zwischentitel"/>
      </w:pPr>
      <w:r>
        <w:t>Funktionen getestet</w:t>
      </w:r>
    </w:p>
    <w:p w14:paraId="7F1F0784" w14:textId="77777777" w:rsidR="00B125A8" w:rsidRDefault="00EE25F7">
      <w:r>
        <w:t>Der VdK hatte in den vergangenen Jahren insbesondere die Post auf die v</w:t>
      </w:r>
      <w:r>
        <w:t>orgeschriebene Barrierefreiheit von Bedienterminals ab 2025 hingewiesen. Kürzlich traf sich VdK-Präsidentin Verena Bentele mit Vertretern von DHL, um an einer Poststation in Berlin einzelne barrierefreie Funktionen zu testen. Ihr Fazit: „Der VdK begrüßt, d</w:t>
      </w:r>
      <w:r>
        <w:t>ass DHL bei den neuen Poststationen Wert auf Barrierefreiheit legt. Die Bedienterminals sind für Menschen mit unterschiedlichen Behinderungen eine gute Hilfe. Ich würde mir wünschen, dass auch die bereits bestehenden Poststationen barrierefrei umgerüstet w</w:t>
      </w:r>
      <w:r>
        <w:t xml:space="preserve">erden, damit mehr Menschen davon profitieren.“ </w:t>
      </w:r>
    </w:p>
    <w:p w14:paraId="647047C4" w14:textId="77777777" w:rsidR="00B125A8" w:rsidRDefault="00EE25F7">
      <w:r>
        <w:t>Barrierefreie Poststationen könnten gerade im ländlichen Raum eine sinnvolle Ergänzung des bestehenden Angebots sein, sagt Bentele. „Einen Ersatz von bestehenden Postfilialen durch Poststationen lehnt der VdK</w:t>
      </w:r>
      <w:r>
        <w:t xml:space="preserve"> jedoch ab.“ </w:t>
      </w:r>
      <w:r>
        <w:rPr>
          <w:b/>
        </w:rPr>
        <w:t>Jörg Ciszewski</w:t>
      </w:r>
    </w:p>
    <w:p w14:paraId="427E0AF0" w14:textId="77777777" w:rsidR="00B125A8" w:rsidRDefault="00EE25F7">
      <w:pPr>
        <w:pStyle w:val="berschrift1"/>
      </w:pPr>
      <w:bookmarkStart w:id="27" w:name="_Toc226531888"/>
      <w:r>
        <w:t>Hindernisse im Studium überwinden</w:t>
      </w:r>
      <w:bookmarkEnd w:id="27"/>
    </w:p>
    <w:p w14:paraId="78765FC4" w14:textId="77777777" w:rsidR="00B125A8" w:rsidRDefault="00EE25F7">
      <w:pPr>
        <w:pStyle w:val="Standard-Fett"/>
      </w:pPr>
      <w:r>
        <w:t>Studierende mit Beeinträchtigungen können an Universitäten und Hochschulen Nachteilsausgleiche in Anspruch nehmen</w:t>
      </w:r>
    </w:p>
    <w:p w14:paraId="7044E673" w14:textId="77777777" w:rsidR="00B125A8" w:rsidRDefault="00EE25F7">
      <w:pPr>
        <w:pStyle w:val="Vorspann"/>
      </w:pPr>
      <w:r>
        <w:t>Rund 16 Prozent der Studierenden haben eine Beeinträchtigung, die ihnen das Stud</w:t>
      </w:r>
      <w:r>
        <w:t xml:space="preserve">ium erschwert. Das können körperliche, psychische oder chronische Erkrankungen sein, aber auch Legasthenie, ADHS oder Autismus. Hochschulen sind verpflichtet, gleichberechtigte Teilhabe sicherzustellen. Nachteilsausgleiche sind ein Instrument, um mögliche </w:t>
      </w:r>
      <w:r>
        <w:t>Barrieren abzubauen.</w:t>
      </w:r>
    </w:p>
    <w:p w14:paraId="1E49BA8C" w14:textId="77777777" w:rsidR="00B125A8" w:rsidRDefault="00EE25F7">
      <w:r>
        <w:t>Die Zahl der Studierenden mit einer Beeinträchtigung ist in den vergangenen Jahren stark gestiegen. Während 2011 acht Prozent angaben, eine studienerschwerende Beeinträchtigung zu haben, waren es im Jahr 2021 bereits 16 Prozent. 65 Pro</w:t>
      </w:r>
      <w:r>
        <w:t>zent der genannten Beeinträchtigungen entfallen auf psychische Erkrankungen.</w:t>
      </w:r>
    </w:p>
    <w:p w14:paraId="0D864E93" w14:textId="77777777" w:rsidR="00B125A8" w:rsidRDefault="00EE25F7">
      <w:r>
        <w:t xml:space="preserve">Für viele der Betroffenen bedeutet dies, dass sie die zeitlichen und formalen Anforderungen eines Studiums nicht im vorgesehenen Rahmen erfüllen können. In solchen Fällen besteht </w:t>
      </w:r>
      <w:r>
        <w:t>die Möglichkeit, individuelle Nachteils-ausgleiche zu gewähren.</w:t>
      </w:r>
    </w:p>
    <w:p w14:paraId="74811C57" w14:textId="77777777" w:rsidR="00B125A8" w:rsidRDefault="00EE25F7">
      <w:pPr>
        <w:pStyle w:val="Zwischentitel"/>
      </w:pPr>
      <w:r>
        <w:t>Individuell entscheiden</w:t>
      </w:r>
    </w:p>
    <w:p w14:paraId="182925A0" w14:textId="77777777" w:rsidR="00B125A8" w:rsidRDefault="00EE25F7">
      <w:r>
        <w:t>Welche Maßnahmen im Einzelnen sinnvoll und erforderlich sind, wird jeweils individuell entschieden. Unterstützung erhalten die Betroffenen durch spezielle Beratungsange</w:t>
      </w:r>
      <w:r>
        <w:t xml:space="preserve">bote für Studierende und Studieninteressierte mit einer Behinderung, chronischen Erkrankungen oder </w:t>
      </w:r>
      <w:r>
        <w:lastRenderedPageBreak/>
        <w:t>anderen Beeinträchtigungen. Solche Beratungsstellen gibt es an allen staatlichen Hochschulstandorten. Betroffene Studierende haben einen Anspruch auf angepas</w:t>
      </w:r>
      <w:r>
        <w:t>ste Studien- und Prüfungsbedingungen. Dieser ergibt sich unter anderem aus der UN-Behindertenrechtskonvention, dem Grundgesetz und dem Hochschulrahmengesetz und soll sicherstellen, dass sie ihr Studium unter fairen Bedingungen absolvieren können. In der Pr</w:t>
      </w:r>
      <w:r>
        <w:t xml:space="preserve">axis kann ein Nachteilsausgleich beispielsweise bedeuten, dass Studierende mit Lese-Rechtschreib- Störung bei einer Prüfung mehr Zeit erhalten. Ebenso könnten zusätzliche Pausen während einer Prüfung gewährt werden. Auch Fristverlängerungen für Haus- oder </w:t>
      </w:r>
      <w:r>
        <w:t xml:space="preserve">Abschlussarbeiten sind unter Umständen möglich. </w:t>
      </w:r>
    </w:p>
    <w:p w14:paraId="7D9533E0" w14:textId="77777777" w:rsidR="00B125A8" w:rsidRDefault="00EE25F7">
      <w:r>
        <w:t>In der Regel müssen Studierende dafür einen entsprechenden Antrag beim Prüfungsausschuss ihrer Fakultät stellen. Um die Beeinträchtigung nachzuweisen, ist ein geeignetes Attest erforderlich. Auch bei der Ber</w:t>
      </w:r>
      <w:r>
        <w:t>echnung des BAföG werden besondere Lebenssituationen von Studierenden mit Beeinträchtigungen berücksichtigt. Sie können unter Umständen höhere Vermögensfreibeträge geltend machen. Grundsätzlich liegt der Freibetrag für alleinstehende Studierende über 30 Ja</w:t>
      </w:r>
      <w:r>
        <w:t>hre bei 45 000 Euro, für unter 30-Jährige bei 15 000 Euro.</w:t>
      </w:r>
    </w:p>
    <w:p w14:paraId="5FF426E3" w14:textId="77777777" w:rsidR="00B125A8" w:rsidRDefault="00EE25F7">
      <w:pPr>
        <w:pStyle w:val="Zwischentitel"/>
      </w:pPr>
      <w:r>
        <w:t>Länger BAföG</w:t>
      </w:r>
    </w:p>
    <w:p w14:paraId="3484BEE3" w14:textId="77777777" w:rsidR="00B125A8" w:rsidRDefault="00EE25F7">
      <w:r>
        <w:t>Verzögert sich das Studium infolge einer Behinderung, kann zudem eine Verlängerung der BAföG-Förderung beantragt werden. Zusatzkosten für Mehrbedarfe deckt das BAföG jedoch nicht ab. Studierende können dafür ergänzende Sozialleistungen beantragen, etwa für</w:t>
      </w:r>
      <w:r>
        <w:t xml:space="preserve"> Kommunikations- oder Studienassistenz sowie für beeinträchtigungsbedingt höhere Wohnkosten. Diese können als „Leistungen zur Teilhabe an Bildung“ im Rahmen der Eingliederungshilfe von den Trägern übernommen werden.  </w:t>
      </w:r>
      <w:r>
        <w:rPr>
          <w:b/>
        </w:rPr>
        <w:t>Jörg Ciszewski</w:t>
      </w:r>
    </w:p>
    <w:p w14:paraId="639BDDEF" w14:textId="77777777" w:rsidR="00B125A8" w:rsidRDefault="00EE25F7">
      <w:pPr>
        <w:pStyle w:val="berschrift1"/>
      </w:pPr>
      <w:bookmarkStart w:id="28" w:name="_Toc226531889"/>
      <w:r>
        <w:t>Aktuelle Filme auf VdK-T</w:t>
      </w:r>
      <w:r>
        <w:t>V</w:t>
      </w:r>
      <w:bookmarkEnd w:id="28"/>
    </w:p>
    <w:p w14:paraId="6D9E00FF" w14:textId="77777777" w:rsidR="00B125A8" w:rsidRDefault="00EE25F7">
      <w:r>
        <w:rPr>
          <w:b/>
        </w:rPr>
        <w:t>„Rat &amp; Tat“</w:t>
      </w:r>
    </w:p>
    <w:p w14:paraId="61993B68" w14:textId="77777777" w:rsidR="00B125A8" w:rsidRDefault="00EE25F7">
      <w:r>
        <w:t>Viele Mitglieder kommen in die VdK-Beratung, weil sie in einer gesundheitlich schwierigen Situation sind. Soeben haben sie eine Rehamaßnahme absolviert, fühlen sich aber noch nicht wieder gesund und fit. Doch im Entlassungsbericht, den die be</w:t>
      </w:r>
      <w:r>
        <w:t>handelnden Ärztinnen und Ärzte in der Rehaklinik verfasst haben, wird ihnen bescheinigt, dass sie als erwerbsfähig eingeschätzt werden. Bei dem Entlassungsbericht handelt es sich allerdings nicht um einen rechtsfähigen Bescheid, sondern um ein medizinische</w:t>
      </w:r>
      <w:r>
        <w:t xml:space="preserve">s Gutachten. Das Problem: Dagegen kann man keinen Widerspruch einlegen. VdK-Sozialrechtsexpertin Katharina Söhne erläutert die Problematik. Betroffene erfahren, welche Schritte sie am besten einleiten sollten und wie ihnen der VdK zu ihrem Recht verhelfen </w:t>
      </w:r>
      <w:r>
        <w:t>kann.</w:t>
      </w:r>
    </w:p>
    <w:p w14:paraId="4E88FFE3" w14:textId="77777777" w:rsidR="00B125A8" w:rsidRDefault="00EE25F7">
      <w:r>
        <w:rPr>
          <w:b/>
        </w:rPr>
        <w:t>„Klipp &amp; Klar“</w:t>
      </w:r>
    </w:p>
    <w:p w14:paraId="78CD9202" w14:textId="77777777" w:rsidR="00B125A8" w:rsidRDefault="00EE25F7">
      <w:r>
        <w:t xml:space="preserve">Gesundheit darf nicht zur Ware werden. Das aber kann passieren, wenn die medizinische Versorgung den Kräften des freien Marktes überlassen wird. Anhand aussagekräftiger Beispiele skizziert Verena Bentele die Folgen: Knieprothese statt </w:t>
      </w:r>
      <w:r>
        <w:t xml:space="preserve">Physiotherapie, weil das lukrativer ist, oder eine Bevorzugung von Privatversicherten bei der Vergabe von Arztterminen. Stattdessen </w:t>
      </w:r>
      <w:r>
        <w:lastRenderedPageBreak/>
        <w:t>fordert der VdK einen starken Sozialstaat, der für ein funktionierendes Gesundheitswesen zu sorgen hat, in dem alle Patienti</w:t>
      </w:r>
      <w:r>
        <w:t>nnen und Patienten unabhängig von Einkommen, Wohnort oder Versicherungsstatus gleichbehandelt werden.</w:t>
      </w:r>
    </w:p>
    <w:p w14:paraId="0167622C" w14:textId="77777777" w:rsidR="00B125A8" w:rsidRDefault="00EE25F7">
      <w:r>
        <w:rPr>
          <w:b/>
        </w:rPr>
        <w:t>„SBV – Inklusives Wissen“</w:t>
      </w:r>
    </w:p>
    <w:p w14:paraId="762DE6CE" w14:textId="77777777" w:rsidR="00B125A8" w:rsidRDefault="00EE25F7">
      <w:r>
        <w:t>Beschäftigte mit Behinderung haben den gesetzlich verbürgten Anspruch auf einen Arbeitsplatz, der ihren individuellen Bedürfniss</w:t>
      </w:r>
      <w:r>
        <w:t>en gerecht wird. Zu dessen Ausstattung gehören neben ergonomischen Möbeln und technischen Hilfsmitteln, wie beispielsweise einer speziellen Software für Menschen mit Sehbeeinträchtigung, auch ein barrierefreier Zugang sowie ein Umfeld, in dem sie ausreiche</w:t>
      </w:r>
      <w:r>
        <w:t>nd Ruhe finden. Auch bei der Arbeitsorganisation gilt es, Bedarfe Schwerbehinderter zu berücksichtigen: Flexible Arbeitszeitregelungen oder die Möglichkeit, einige Tage in der Woche zu Hause zu arbeiten, kommen vielen entgegen. Bei der Einrichtung eines so</w:t>
      </w:r>
      <w:r>
        <w:t>genannten „leidensgerechten Arbeitsplatzes“ sind die Schwerbehindertenvertretungen in besonders hohem Maße gefragt. Ihre Aufgabe ist es, zwischen Betrieb und Beschäftigten auszuhandeln, was für beide Seiten zumut- und machbar ist.</w:t>
      </w:r>
    </w:p>
    <w:p w14:paraId="59FC6F36" w14:textId="77777777" w:rsidR="00B125A8" w:rsidRDefault="00EE25F7">
      <w:r>
        <w:t>VdK-TV-Magazin in Sport1</w:t>
      </w:r>
    </w:p>
    <w:p w14:paraId="44435218" w14:textId="77777777" w:rsidR="00B125A8" w:rsidRDefault="00EE25F7">
      <w:pPr>
        <w:pStyle w:val="berschrift1"/>
      </w:pPr>
      <w:bookmarkStart w:id="29" w:name="_Toc226531890"/>
      <w:r>
        <w:t>„miteinander“ im April</w:t>
      </w:r>
      <w:bookmarkEnd w:id="29"/>
    </w:p>
    <w:p w14:paraId="65B136A3" w14:textId="77777777" w:rsidR="00B125A8" w:rsidRDefault="00EE25F7">
      <w:r>
        <w:t>Für „miteinander“ im April war VdK-TV zu Gast beim traditionellen Forum des VdK Bayern in München. Unter dem Titel „36 Grad, und es wird noch heißer“ wurden dieses Mal in Vorträgen und Podiumsrunden Möglichkeiten eines sozialverträgl</w:t>
      </w:r>
      <w:r>
        <w:t xml:space="preserve">ichen Klimaschutzes vorgestellt und diskutiert. </w:t>
      </w:r>
    </w:p>
    <w:p w14:paraId="5A89F5D6" w14:textId="77777777" w:rsidR="00B125A8" w:rsidRDefault="00EE25F7">
      <w:r>
        <w:t>Klimaschutz ist die neue soziale Frage. Denn die Folgen zum Beispiel der zunehmenden Erderwärmung treffen ärmere Menschen, Ältere und Kinder in besonderem Maße. Zudem sind Frauen stärker als Männer betroffen</w:t>
      </w:r>
      <w:r>
        <w:t>. Klimapolitik ist deshalb immer auch Gesundheits- und Sozialpolitik – und braucht Lösungen, die die Zusatzausgaben möglichst gerecht auf den Schultern der Gesellschaft verteilen.</w:t>
      </w:r>
    </w:p>
    <w:p w14:paraId="79A8FEC9" w14:textId="77777777" w:rsidR="00B125A8" w:rsidRDefault="00EE25F7">
      <w:r>
        <w:t>Die politischen Diskussionen der vergangenen Monate haben den Klimawandel au</w:t>
      </w:r>
      <w:r>
        <w:t>sgeblendet. Statt gesetzlicher Verbesserungen zum Klimaschutz sind Verschlechterungen nicht auszuschließen. Gerade die Klimawandelfolgen für die Bevölkerung und individuelle Nachteilsausgleiche geraten dabei aus dem Blickfeld, sodass die Klimagerechtigkeit</w:t>
      </w:r>
      <w:r>
        <w:t xml:space="preserve"> in Frage steht. </w:t>
      </w:r>
    </w:p>
    <w:p w14:paraId="6343625F" w14:textId="77777777" w:rsidR="00B125A8" w:rsidRDefault="00EE25F7">
      <w:r>
        <w:t>Auf dem VdK-Forum wurde ebenso ein Blick auf den Zusammenhang von Klimagerechtigkeit und Geschlecht sowie auf konkrete Klimaschutzmaßnahmen vor Ort geworfen.</w:t>
      </w:r>
    </w:p>
    <w:p w14:paraId="2B21D25F" w14:textId="77777777" w:rsidR="00B125A8" w:rsidRDefault="00EE25F7">
      <w:r>
        <w:rPr>
          <w:b/>
        </w:rPr>
        <w:t xml:space="preserve">„miteinander“ </w:t>
      </w:r>
      <w:r>
        <w:t>ist eine der beständigsten Sendereihen im deutschen Fernsehen. Sei</w:t>
      </w:r>
      <w:r>
        <w:t xml:space="preserve">t 28 Jahren informiert das VdK-TV-Magazin Monat für Monat über sozialpolitische Themen, rechtliche Fragen, zeigt Neues aus den Bereichen Gesundheit und Rente, ist generationsübergreifend und wendet sich an Menschen mit und ohne Behinderung. </w:t>
      </w:r>
    </w:p>
    <w:p w14:paraId="4B9043A7" w14:textId="77777777" w:rsidR="00B125A8" w:rsidRDefault="00EE25F7">
      <w:r>
        <w:rPr>
          <w:b/>
        </w:rPr>
        <w:t xml:space="preserve">April-Ausgabe </w:t>
      </w:r>
      <w:r>
        <w:rPr>
          <w:b/>
        </w:rPr>
        <w:t>auf Sport1</w:t>
      </w:r>
    </w:p>
    <w:p w14:paraId="78803FE5" w14:textId="77777777" w:rsidR="00B125A8" w:rsidRDefault="00EE25F7">
      <w:r>
        <w:rPr>
          <w:b/>
        </w:rPr>
        <w:lastRenderedPageBreak/>
        <w:t>am 18.  April</w:t>
      </w:r>
      <w:r>
        <w:t xml:space="preserve"> um 12  Uhr.</w:t>
      </w:r>
    </w:p>
    <w:p w14:paraId="6B203969" w14:textId="77777777" w:rsidR="00B125A8" w:rsidRDefault="00EE25F7">
      <w:r>
        <w:t>Wiederholungen am 21.  April um 7  Uhr sowie am 23.  April um 1  Uhr.</w:t>
      </w:r>
    </w:p>
    <w:p w14:paraId="4E476FD9" w14:textId="77777777" w:rsidR="00B125A8" w:rsidRDefault="00EE25F7">
      <w:r>
        <w:t>Nach TV-Ausstrahlung jederzeit abrufbar auf vdk.de</w:t>
      </w:r>
    </w:p>
    <w:p w14:paraId="259AB7AB" w14:textId="77777777" w:rsidR="00B125A8" w:rsidRDefault="00EE25F7">
      <w:pPr>
        <w:pStyle w:val="berschrift1"/>
      </w:pPr>
      <w:bookmarkStart w:id="30" w:name="_Toc226531891"/>
      <w:r>
        <w:t>Radreisen auf die sanfte Tour</w:t>
      </w:r>
      <w:bookmarkEnd w:id="30"/>
      <w:r>
        <w:t xml:space="preserve"> </w:t>
      </w:r>
    </w:p>
    <w:p w14:paraId="3B84DAD0" w14:textId="77777777" w:rsidR="00B125A8" w:rsidRDefault="00EE25F7">
      <w:pPr>
        <w:pStyle w:val="Standard-Fett"/>
      </w:pPr>
      <w:r>
        <w:t xml:space="preserve"> Für Familien mit Kindern und für Einsteiger gibt es eine Vielzahl </w:t>
      </w:r>
      <w:r>
        <w:t>an Radrouten, die vom ADFC prämiert sind</w:t>
      </w:r>
    </w:p>
    <w:p w14:paraId="72CB202C" w14:textId="77777777" w:rsidR="00B125A8" w:rsidRDefault="00EE25F7">
      <w:pPr>
        <w:pStyle w:val="Vorspann"/>
      </w:pPr>
      <w:r>
        <w:t>Der Allgemeine Deutsche Fahrrad-Club (ADFC) hat neun besonders familienfreundliche Qualitätsradrouten für 2026 ausgezeichnet. Außerdem empfiehlt er zwei Radreiseregionen.</w:t>
      </w:r>
    </w:p>
    <w:p w14:paraId="759E242E" w14:textId="77777777" w:rsidR="00B125A8" w:rsidRDefault="00EE25F7">
      <w:r>
        <w:t xml:space="preserve">Viele Wege führen bei diesen Touren entlang </w:t>
      </w:r>
      <w:r>
        <w:t>von Flüssen oder Seen. Geringe Steigungen, kaum Autoverkehr und die Nähe zum Wasser sind perfekt für entspanntes Radeln. Auenlandschaften, mittelalterliche Städtchen und Burgen sorgen für weitere Abwechslung. Gelegenheiten zum Pausemachen gibt es viele – z</w:t>
      </w:r>
      <w:r>
        <w:t>um Baden, Picknicken oder zum Anschauen der Sehenswürdigkeiten.</w:t>
      </w:r>
    </w:p>
    <w:p w14:paraId="4EDEDDA4" w14:textId="77777777" w:rsidR="00B125A8" w:rsidRDefault="00EE25F7">
      <w:r>
        <w:t>Und das sind die neun besonders familienfreundlichen Radrouten, die der ADFC 2026 auszeichnet: Diemelradweg, Hohe-Mark-Radroute, Neusiedler-See-Radweg, Route Industriekultur, Ruhrtal-Radweg, R</w:t>
      </w:r>
      <w:r>
        <w:t xml:space="preserve">emstal-Radweg, Saar-Radweg, Vennbahn und Weser-Radweg. Hinzu kommen die zwei   ADFC-Radreiseregionen Hellwegbörde und Teufelsmoor. </w:t>
      </w:r>
    </w:p>
    <w:p w14:paraId="56E9A9D4" w14:textId="77777777" w:rsidR="00B125A8" w:rsidRDefault="00EE25F7">
      <w:r>
        <w:t>Der Diemelradweg führt von den Höhen des Waldecker Uplands über den Naturpark Diemelsee bis zur Weser nach Bad Karlshafen. B</w:t>
      </w:r>
      <w:r>
        <w:t>eeindruckend sind vor allem die steilen Kalksteinhänge und lichten Magerrasen des Diemeltals. Diese  beherbergen eine der größten Schmetterlingspopulationen Mitteleuropas. Geradelt wird in drei Etappen immer am Flusslauf entlang. Kulturell Interessierte we</w:t>
      </w:r>
      <w:r>
        <w:t xml:space="preserve">rden in Marsberg und Warburg fündig. </w:t>
      </w:r>
    </w:p>
    <w:p w14:paraId="5D250E45" w14:textId="77777777" w:rsidR="00B125A8" w:rsidRDefault="00EE25F7">
      <w:r>
        <w:t>Auf der Hohe-Mark-Radroute können Radreisende große Naturschauspiele erleben. Der Rundkurs entführt in ein Hügelland mit Wiesen, Wäldern und Auenlandschaften mit Seen und Flüssen. In Weseke lädt der Apothekergarten zum</w:t>
      </w:r>
      <w:r>
        <w:t xml:space="preserve"> Lernen über die Geschichte der Heilkunst ein. An der Wildpferdebahn Dülmen können etwa 400 Pferde des einzigen europäischen Wildpferdegestüts beobachtet werden. Dieses existiert bereits seit Ende des 19. Jahrhunderts. Am Hullerner Stausee kann man manchma</w:t>
      </w:r>
      <w:r>
        <w:t>l sogar Fischadler erspähen. Das Wasserschloss Raesfeld ist ein weiteres Ziel.</w:t>
      </w:r>
    </w:p>
    <w:p w14:paraId="71A14840" w14:textId="77777777" w:rsidR="00B125A8" w:rsidRDefault="00EE25F7">
      <w:r>
        <w:t>Viel zu erleben gibt es auch am Neusiedler-See-Radweg entlang des Schilfgürtels mit einem traumhaften Ausblick zum See sowie  Wegen zwischen Weingärten und Feuchtwiesen.</w:t>
      </w:r>
    </w:p>
    <w:p w14:paraId="535DC1A0" w14:textId="77777777" w:rsidR="00B125A8" w:rsidRDefault="00EE25F7">
      <w:pPr>
        <w:pStyle w:val="Zwischentitel"/>
      </w:pPr>
      <w:r>
        <w:t>Alte Ba</w:t>
      </w:r>
      <w:r>
        <w:t>hntrassen</w:t>
      </w:r>
    </w:p>
    <w:p w14:paraId="4ED9F310" w14:textId="77777777" w:rsidR="00B125A8" w:rsidRDefault="00EE25F7">
      <w:r>
        <w:lastRenderedPageBreak/>
        <w:t xml:space="preserve">Die Route Industriekultur führt durch eine facettenreiche Region und verbindet Relikte aus über 200 Jahren Industriegeschichte miteinander. Zu sehen sind die wichtigsten Industriedenkmäler des Ruhrgebiets. Gefahren wird zu großen Teilen </w:t>
      </w:r>
      <w:r>
        <w:t>abseits des Straßenverkehrs auf umgebauten Bahntrassen sowie entlang von Fluss- und Kanalufern. Das UNESCO-Welterbe Zollverein oder der Landschaftspark Duisburg-Nord sind nur einige der vielen Höhepunkte.</w:t>
      </w:r>
    </w:p>
    <w:p w14:paraId="1A4E81C9" w14:textId="77777777" w:rsidR="00B125A8" w:rsidRDefault="00EE25F7">
      <w:r>
        <w:t xml:space="preserve"> Der Ruhrtal-Radweg besticht durch Kontraste. Gesta</w:t>
      </w:r>
      <w:r>
        <w:t>rtet wird im waldreichen Sauerland, Ziel ist aber die lebendige Metropole Ruhr. Vorbei durch stille Wälder und an glitzernden Stauseen lässt sich die Landschaft aktiv genießen.</w:t>
      </w:r>
    </w:p>
    <w:p w14:paraId="50D5AEBF" w14:textId="77777777" w:rsidR="00B125A8" w:rsidRDefault="00EE25F7">
      <w:r>
        <w:t xml:space="preserve">Weinberge, Fachwerkhäuser und  Streuobstwiesen vor den Toren Stuttgarts machen </w:t>
      </w:r>
      <w:r>
        <w:t>den Remstal-Radweg entlang der Rems aus. Auf der Reise geht es vorbei an traditionsreichen Gasthöfen und Biergärten. Parks, Grill- und Erlebnisspielplätze und kleine Strände bereichern die Tour.</w:t>
      </w:r>
    </w:p>
    <w:p w14:paraId="309DAE1A" w14:textId="77777777" w:rsidR="00B125A8" w:rsidRDefault="00EE25F7">
      <w:r>
        <w:t>Der Saar-Radweg startet im französischen Sarreguemines. Die G</w:t>
      </w:r>
      <w:r>
        <w:t>renzstadt besticht durch ihre Jugendstilbauten. Saarbrücken ist ein weiteres Ziel, ebenso die berühmte Saarschleife, wo sich das Flussbett zwischen dicht bewaldeten Hängen in die Kurve legt. Weiter flussabwärts liegt Saarburg mit einem 20 Meter hohen Wasse</w:t>
      </w:r>
      <w:r>
        <w:t>rfall und schmucken Fachwerkhäusern.</w:t>
      </w:r>
    </w:p>
    <w:p w14:paraId="2C2CF7AF" w14:textId="77777777" w:rsidR="00B125A8" w:rsidRDefault="00EE25F7">
      <w:r>
        <w:t>Bei der ADFC-Qualitätsradroute Vennbahn geht es auf asphaltierten ehemaligen Bahntrassen von der UNESCO-Weltkulturerbestadt Aachen durch Ostbelgien bis nach Luxemburg. Sehenswert ist auch die ehemalige Wallfahrtsstätte Kornelimünster. Die Eifelstadt Monsch</w:t>
      </w:r>
      <w:r>
        <w:t xml:space="preserve">au beeindruckt mit Fachwerk und engen Gassen. Das Hochmoor Hohes Venn ist ein Naturschutzgebiet. </w:t>
      </w:r>
    </w:p>
    <w:p w14:paraId="5426BF0D" w14:textId="77777777" w:rsidR="00B125A8" w:rsidRDefault="00EE25F7">
      <w:r>
        <w:t>Von den Mittelgebirgen bis zur Nordsee führt der Weser-Radweg. Zunächst geht es durch das beschauliche Weserbergland. Der Blick fällt auf prächtige Schlösser.</w:t>
      </w:r>
      <w:r>
        <w:t xml:space="preserve"> In Hameln gibt es das Rattenfängerhaus. Über die Hansestadt Bremen und die Seestadt Bremerhaven führt der Radweg in die Wesermarsch – eine Landschaft, die zu zwei Dritteln unter dem Meeresspiegel liegt und nur dank Deichen existiert. Das Finale gehört der</w:t>
      </w:r>
      <w:r>
        <w:t xml:space="preserve"> Nordsee mit der Halbinsel Butjadingen sowie Ausblicken auf das Wattenmeer.</w:t>
      </w:r>
    </w:p>
    <w:p w14:paraId="6D7C44B0" w14:textId="77777777" w:rsidR="00B125A8" w:rsidRDefault="00EE25F7">
      <w:r>
        <w:t>Sowohl für Tagestouren, Themenrouten als auch für längere Etappen mit Übernachtungen eignen sich auch die vom ADFC ausgezeichneten Radreiseregionen  Hellwegbörde und Kulturland Teu</w:t>
      </w:r>
      <w:r>
        <w:t xml:space="preserve">felsmoor sehr gut.  </w:t>
      </w:r>
    </w:p>
    <w:p w14:paraId="53641483" w14:textId="77777777" w:rsidR="00B125A8" w:rsidRDefault="00EE25F7">
      <w:r>
        <w:t>Zwischen Lippe, Möhne und Ruhr beeindruckt die Region Hellwegbörde mit Kulturlandschaften. So fährt man auf dem Skulpturenradweg Wegmarken durch die südwestfälische Landschaft von einem Kunstwerk zum nächsten.  Das Kulturland Teufelsmo</w:t>
      </w:r>
      <w:r>
        <w:t xml:space="preserve">or führt entlang von Kanälen und durch weite Moorlandschaften. Künstlerdörfer und Wassermühlen sind nur einige der Sehenswürdigkeiten.  </w:t>
      </w:r>
    </w:p>
    <w:p w14:paraId="4173DA1B" w14:textId="77777777" w:rsidR="00B125A8" w:rsidRDefault="00EE25F7">
      <w:r>
        <w:t>Weitere Informationen zu den prämierten Radwegen und Radregionen gibt es im Internet unter www.adfc-radtourismus.dePetr</w:t>
      </w:r>
      <w:r>
        <w:t>a J. Huschke</w:t>
      </w:r>
    </w:p>
    <w:p w14:paraId="14830299" w14:textId="77777777" w:rsidR="00B125A8" w:rsidRDefault="00EE25F7">
      <w:pPr>
        <w:pStyle w:val="berschrift1"/>
      </w:pPr>
      <w:bookmarkStart w:id="31" w:name="_Toc226531892"/>
      <w:r>
        <w:lastRenderedPageBreak/>
        <w:t>Wissenswertes rund ums Ovale</w:t>
      </w:r>
      <w:bookmarkEnd w:id="31"/>
    </w:p>
    <w:p w14:paraId="01075152" w14:textId="77777777" w:rsidR="00B125A8" w:rsidRDefault="00EE25F7">
      <w:pPr>
        <w:pStyle w:val="Standard-Fett"/>
      </w:pPr>
      <w:r>
        <w:t>Nicht nur zu Ostern: Eier haben auf dem Speiseplan der Menschen in Deutschland ihren Stammplatz</w:t>
      </w:r>
    </w:p>
    <w:p w14:paraId="10C770F0" w14:textId="77777777" w:rsidR="00B125A8" w:rsidRDefault="00EE25F7">
      <w:pPr>
        <w:pStyle w:val="Vorspann"/>
      </w:pPr>
      <w:r>
        <w:t>Hühnereier sind gesund, beliebt und in aller Munde: als Frühstücksei hart oder weich gekocht, gern auch als Spiegel- o</w:t>
      </w:r>
      <w:r>
        <w:t>der Rührei im Omelett oder pochiert. Der Verbrauch steigt und Käuferinnen und Käufer greifen häufiger zu Eiern aus Freiland- oder Öko-Haltung.</w:t>
      </w:r>
    </w:p>
    <w:p w14:paraId="4E4458DE" w14:textId="77777777" w:rsidR="00B125A8" w:rsidRDefault="00EE25F7">
      <w:r>
        <w:t xml:space="preserve">In Deutschland werden immer mehr Eier gegessen. Pro Kopf waren es im vergangenen Jahr durchschnittlich 252. Laut </w:t>
      </w:r>
      <w:r>
        <w:t>Bundesinformationszentrum Landwirtschaft sind das vier Eier mehr als im Jahr zuvor, in dem ebenfalls ein Anstieg vermeldet worden war. Insgesamt wurden 2025 sogar rund 21 Milliarden Eier verbraucht. In dieser Zahl sind Eier inbegriffen, die etwa in Kuchen,</w:t>
      </w:r>
      <w:r>
        <w:t xml:space="preserve"> Saucen oder anderen Speisen verarbeitet wurden. </w:t>
      </w:r>
    </w:p>
    <w:p w14:paraId="2F120C09" w14:textId="77777777" w:rsidR="00B125A8" w:rsidRDefault="00EE25F7">
      <w:r>
        <w:t>Bereits seit dem Jahr 2022 steigt der Appetit auf Eier in Deutschland kontinuierlich. In jenem Jahr lag der Pro-Kopf-Verbrauch noch bei durchschnittlich 234 Eiern im Jahr. Der Großteil der hierzulande verze</w:t>
      </w:r>
      <w:r>
        <w:t>hrten Eier stammt von heimischen Bauernhöfen. Die wichtigsten Produktionsregionen sind Niedersachsen, Nordrhein-Westfalen und Bayern.</w:t>
      </w:r>
    </w:p>
    <w:p w14:paraId="62648D15" w14:textId="77777777" w:rsidR="00B125A8" w:rsidRDefault="00EE25F7">
      <w:pPr>
        <w:pStyle w:val="Zwischentitel"/>
      </w:pPr>
      <w:r>
        <w:t xml:space="preserve">Eier am Fließband </w:t>
      </w:r>
    </w:p>
    <w:p w14:paraId="46855A56" w14:textId="77777777" w:rsidR="00B125A8" w:rsidRDefault="00EE25F7">
      <w:r>
        <w:t>Neben Frankreich, Spanien oder Italien gehört Deutschland zu den Ländern in Europa mit der größten Eier</w:t>
      </w:r>
      <w:r>
        <w:t>produktion. Im Jahr 2025 sind nach Angaben des Statistischen Bundesamts in Betrieben mit mindestens 3000 Hennenhaltungsplätzen 13,7 Milliarden Eier erzeugt worden. Die Bodenhaltung war dabei mit 57,6 Prozent die dominierende Haltungsform, sank aber im Verg</w:t>
      </w:r>
      <w:r>
        <w:t>leich zum Vorjahr (58 Prozent) leicht. Der Anteil der Eier aus Freilandhaltung war im Jahr 2025 auf 24,7 Prozent (2024: 23,6 Prozent) gestiegen, aus ökologischer Erzeugung stammten 14,6 Prozent (2024: 14,1 Prozent).</w:t>
      </w:r>
    </w:p>
    <w:p w14:paraId="04E76AD0" w14:textId="77777777" w:rsidR="00B125A8" w:rsidRDefault="00EE25F7">
      <w:r>
        <w:t>Der Trend geht zu einer tierfreundlicher</w:t>
      </w:r>
      <w:r>
        <w:t xml:space="preserve">en Haltung: Der durchschnittliche Bestand an Legehennen in Freilandhaltung war  im Jahr 2025 im Vergleich zum Vorjahr um fünf Prozent auf 11,2 Millionen Tiere gestiegen. </w:t>
      </w:r>
    </w:p>
    <w:p w14:paraId="3CF971AC" w14:textId="77777777" w:rsidR="00B125A8" w:rsidRDefault="00EE25F7">
      <w:r>
        <w:t xml:space="preserve">Auch der Anteil der Legehennen in der ökologischen Erzeugung nahm verglichen mit dem </w:t>
      </w:r>
      <w:r>
        <w:t xml:space="preserve">Jahr zuvor um 4,1 Prozent beziehungsweise um 79 Millionen auf rund zwei Milliarden Tiere zu. </w:t>
      </w:r>
    </w:p>
    <w:p w14:paraId="488AB198" w14:textId="77777777" w:rsidR="00B125A8" w:rsidRDefault="00EE25F7">
      <w:r>
        <w:t>Mehr als die Hälfte der ökologisch erzeugten Eier entfällt dabei auf zwei Bundesländer: nämlich Niedersachen (45,3 Prozent) und Bayern (11,4 Prozent).</w:t>
      </w:r>
    </w:p>
    <w:p w14:paraId="0BCBF375" w14:textId="77777777" w:rsidR="00B125A8" w:rsidRDefault="00EE25F7">
      <w:pPr>
        <w:pStyle w:val="Zwischentitel"/>
      </w:pPr>
      <w:r>
        <w:t>Kleine Kraf</w:t>
      </w:r>
      <w:r>
        <w:t>tpakete</w:t>
      </w:r>
    </w:p>
    <w:p w14:paraId="2A477DD0" w14:textId="77777777" w:rsidR="00B125A8" w:rsidRDefault="00EE25F7">
      <w:r>
        <w:lastRenderedPageBreak/>
        <w:t>Die wachsende Beliebtheit von Eiern hat seinen Grund unter anderem darin, dass es kleine Kraftpakete mit vielen gesunden Nährstoffen sind. Sie enthalten vor allem hochwertiges Eiweiß, das von unserem Körper vollständig verwertet werden kann, und si</w:t>
      </w:r>
      <w:r>
        <w:t xml:space="preserve">e sind gut verdaulich. </w:t>
      </w:r>
    </w:p>
    <w:p w14:paraId="13B251C8" w14:textId="77777777" w:rsidR="00B125A8" w:rsidRDefault="00EE25F7">
      <w:r>
        <w:t>Der Eiweißgehalt ist im Eigelb höher als im Eiklar. Während das Eiklar nur geringe Mengen an Fett enthält, ist das Eigelb fettreicher und liefert unter anderem Ölsäure, Lecithin und Cholesterin. Darüber hinaus enthalten Eier wichtig</w:t>
      </w:r>
      <w:r>
        <w:t>e Vitamine wie A, D, E und K. Vitamin A spielt eine zentrale Rolle für die Gesundheit der Augen und die Sehkraft, während die B-Vitamine den Energiestoffwechsel unterstützen und zur Funktion der Nervenzellen beitragen. Folsäure ist zudem wichtig für die Ze</w:t>
      </w:r>
      <w:r>
        <w:t>llteilung. Auch an Mineralstoffen sind Eier reich: Im Eigelb finden sich unter anderem Calcium, Phosphor, Eisen und Jod, während das Eiklar vor allem Kalium und Natrium enthält.</w:t>
      </w:r>
    </w:p>
    <w:p w14:paraId="3AF8287E" w14:textId="77777777" w:rsidR="00B125A8" w:rsidRDefault="00EE25F7">
      <w:pPr>
        <w:pStyle w:val="Zwischentitel"/>
      </w:pPr>
      <w:r>
        <w:t>Viel Cholesterin</w:t>
      </w:r>
    </w:p>
    <w:p w14:paraId="5D364483" w14:textId="77777777" w:rsidR="00B125A8" w:rsidRDefault="00EE25F7">
      <w:r>
        <w:t>Eier enthalten zwar viel Cholesterin und galten lange als pro</w:t>
      </w:r>
      <w:r>
        <w:t>blematisch. Heute weiß man: Ihr Einfluss auf den Cholesterin-spiegel ist geringer als gedacht. Auch an Ostern darf man daher ruhig mehr Eier essen als gewohnt, ohne dass sich das direkt negativ auswirkt. Wichtig ist aber, den Konsum danach wieder zu reduzi</w:t>
      </w:r>
      <w:r>
        <w:t xml:space="preserve">eren. Als Richtwert gelten bis zu drei Eier pro Woche, auch wenn aus gesundheitlicher Sicht gelegentlich ein Ei pro Tag möglich ist. </w:t>
      </w:r>
    </w:p>
    <w:p w14:paraId="05EF2E29" w14:textId="77777777" w:rsidR="00B125A8" w:rsidRDefault="00EE25F7">
      <w:r>
        <w:t>Die Farbe der Eierschale – also ob braun oder weiß – ist übrigens genetisch bedingt und von der Hühnerrasse abhängig. Am b</w:t>
      </w:r>
      <w:r>
        <w:t xml:space="preserve">esten schmecken vielen Menschen zu Ostern ohnehin die Eier, die am buntesten sind. </w:t>
      </w:r>
      <w:r>
        <w:rPr>
          <w:b/>
        </w:rPr>
        <w:t>Jörg Ciszewski</w:t>
      </w:r>
    </w:p>
    <w:p w14:paraId="43CA82D5" w14:textId="77777777" w:rsidR="00B125A8" w:rsidRDefault="00EE25F7">
      <w:pPr>
        <w:pStyle w:val="berschrift1"/>
      </w:pPr>
      <w:bookmarkStart w:id="32" w:name="_Toc226531893"/>
      <w:r>
        <w:t>Vorbereitung auf die Wandersaison</w:t>
      </w:r>
      <w:bookmarkEnd w:id="32"/>
    </w:p>
    <w:p w14:paraId="4B09F819" w14:textId="77777777" w:rsidR="00B125A8" w:rsidRDefault="00EE25F7">
      <w:pPr>
        <w:pStyle w:val="Standard-Fett"/>
      </w:pPr>
      <w:r>
        <w:t>Sicher durch Wind und Wetter: Mit guter Planung und passender Ausrüstung entspannt unterwegs</w:t>
      </w:r>
    </w:p>
    <w:p w14:paraId="587FC54D" w14:textId="77777777" w:rsidR="00B125A8" w:rsidRDefault="00EE25F7">
      <w:pPr>
        <w:pStyle w:val="Vorspann"/>
      </w:pPr>
      <w:r>
        <w:t>„Gehen ist des Menschen beste M</w:t>
      </w:r>
      <w:r>
        <w:t>edizin“ – diesen Gedanken formulierte bereits der griechische Arzt Hippokrates rund 400 Jahre vor unserer Zeitrechnung und betonte damit die Bedeutung der Bewegung für unsere Gesundheit. Diese alte Weisheit scheint heute aktueller denn je: Wandern gilt als</w:t>
      </w:r>
      <w:r>
        <w:t xml:space="preserve"> eine der gesündesten Freizeitaktivitäten überhaupt. In Deutschland zählt das Wandern zu den beliebtesten Formen der aktiven Erholung.</w:t>
      </w:r>
    </w:p>
    <w:p w14:paraId="38C0FC3B" w14:textId="77777777" w:rsidR="00B125A8" w:rsidRDefault="00EE25F7">
      <w:r>
        <w:t>Wandern ist vielfältig und reicht vom gemütlichen Spaziergang durch den Wald über Tagesausflüge in Mittelgebirgen bis hin zu anspruchsvolleren Touren in den Alpen. Was alle Varianten verbindet, ist das Erlebnis in der Natur: Bewegung an frischer Luft,abwec</w:t>
      </w:r>
      <w:r>
        <w:t>hslungsreiche Landschaften und der direkte Kontakt mit Flora und Fauna machen jede Wanderung zu einem besonderen Erlebnis.</w:t>
      </w:r>
    </w:p>
    <w:p w14:paraId="5E99346E" w14:textId="77777777" w:rsidR="00B125A8" w:rsidRDefault="00EE25F7">
      <w:r>
        <w:lastRenderedPageBreak/>
        <w:t xml:space="preserve">Der frühere Bundespräsident Theodor Heuss hat es einst so formuliert:  „Der Sinn des Reisens ist es, an ein Ziel zu kommen, der Sinn </w:t>
      </w:r>
      <w:r>
        <w:t>des Wanderns ist es, unterwegs zu sein.“ Dieses Zitat bringt auf den Punkt, was viele Menschen beim Wandern schätzen: Es kommt nicht auf das Ziel an, sondern vor allem auf das bewusste Unterwegssein.</w:t>
      </w:r>
    </w:p>
    <w:p w14:paraId="367D475D" w14:textId="77777777" w:rsidR="00B125A8" w:rsidRDefault="00EE25F7">
      <w:r>
        <w:t>Wandern wird in Deutschland nicht nur wegen der körperli</w:t>
      </w:r>
      <w:r>
        <w:t>chen Aktivität geschätzt, sondern auch als Zeit für sich selbst und für gemeinsame Erlebnisse mit anderen. Viele sehen es als eine Möglichkeit, dem Alltag zu entfliehen, Stress abzubauen und Lebensfreude zu tanken. In Umfragen wird besonders häufig genannt</w:t>
      </w:r>
      <w:r>
        <w:t>, dass Naturerlebnis, Bewegung und Gesundheit die wichtigsten Gründe für das Wandern sind.</w:t>
      </w:r>
    </w:p>
    <w:p w14:paraId="7F2787BC" w14:textId="77777777" w:rsidR="00B125A8" w:rsidRDefault="00EE25F7">
      <w:pPr>
        <w:pStyle w:val="Zwischentitel"/>
      </w:pPr>
      <w:r>
        <w:t>Planung ist das A und O</w:t>
      </w:r>
    </w:p>
    <w:p w14:paraId="2A8F260B" w14:textId="77777777" w:rsidR="00B125A8" w:rsidRDefault="00EE25F7">
      <w:r>
        <w:t>Damit eine Wanderung nicht mit Blasen an den Füßen oder anderen Malaisen endet, ist eine gute Vorbereitung notwendig. Ein paar einfache Grund</w:t>
      </w:r>
      <w:r>
        <w:t>regeln und die passende Ausrüstung machen den Unterschied zwischen einer stressigen und einer schönen Tour.</w:t>
      </w:r>
    </w:p>
    <w:p w14:paraId="50B33974" w14:textId="77777777" w:rsidR="00B125A8" w:rsidRDefault="00EE25F7">
      <w:r>
        <w:t>Vor einer Wanderung sollten Streckenlänge, Höhenmeter, Schwierigkeitsgrad und Wetterbedingungen geprüft werden, damit die Tour zur eigenen Leistungs</w:t>
      </w:r>
      <w:r>
        <w:t>fähigkeit passt und keine unangenehmen Überraschungen auftreten. Stabiles, gut eingelaufenes Schuhwerk mit griffigem Profil bietet sicheren Stand und reduziert die Gefahr von Umknicken oder Blasen. Bei der Kleidung empfiehlt sich das Zwiebelprinzip: Mehrer</w:t>
      </w:r>
      <w:r>
        <w:t>e Schichten aus atmungsaktiven Funktionsmaterialien lassen sich je nach Wetter und Anstrengung anpassen, ergänzt durch eine äußere, wasserdichte Schicht.</w:t>
      </w:r>
    </w:p>
    <w:p w14:paraId="06AFFF98" w14:textId="77777777" w:rsidR="00B125A8" w:rsidRDefault="00EE25F7">
      <w:r>
        <w:t>Ausreichend trinken ist eine Grundvoraussetzung für das Wandern. Trinkmenge und Pausen sollten an Wett</w:t>
      </w:r>
      <w:r>
        <w:t>er und Anstrengung angepasst werden. Das regelmäßige Trinken beugt der Ermüdung und Kreislaufproblemen vor.</w:t>
      </w:r>
    </w:p>
    <w:p w14:paraId="28ED25A3" w14:textId="77777777" w:rsidR="00B125A8" w:rsidRDefault="00EE25F7">
      <w:r>
        <w:t>Ein Tagesrucksack mit ausreichend Volumen bietet Platz für die notwendige Ausrüstung: Wasser, Energieriegel, Sonnenschutz, Erste‑Hilfe‑Material inkl</w:t>
      </w:r>
      <w:r>
        <w:t>usive Blasenpflaster, gedruckte Landkarten oder eine vorinstallierte Offline‑KartenApp sowie eventuell eine Powerbank und eine Notpfeife.</w:t>
      </w:r>
    </w:p>
    <w:p w14:paraId="2CC9B9A1" w14:textId="77777777" w:rsidR="00B125A8" w:rsidRDefault="00EE25F7">
      <w:r>
        <w:t xml:space="preserve">Vor dem Start sollte die Wettervorhersage geprüft und die gewählte Route bekannt sein. Vor allen Dingen in den Bergen </w:t>
      </w:r>
      <w:r>
        <w:t>können Wetterumschwünge schnell auftreten.</w:t>
      </w:r>
    </w:p>
    <w:p w14:paraId="51E3200B" w14:textId="77777777" w:rsidR="00B125A8" w:rsidRDefault="00EE25F7">
      <w:r>
        <w:t>Es gehört selbstverständlich zu den grundlegenden Verhaltensweisen, markierte Wege zu nutzen und die Umwelt nicht zu belasten. Das bedeutet, Müll wieder mitzunehmen und Pflanzen sowie Tiere nicht zu stören.</w:t>
      </w:r>
    </w:p>
    <w:p w14:paraId="11511593" w14:textId="77777777" w:rsidR="00B125A8" w:rsidRDefault="00EE25F7">
      <w:pPr>
        <w:pStyle w:val="Zwischentitel"/>
      </w:pPr>
      <w:r>
        <w:t>Barrie</w:t>
      </w:r>
      <w:r>
        <w:t>refreies Wandern</w:t>
      </w:r>
    </w:p>
    <w:p w14:paraId="6EB55821" w14:textId="77777777" w:rsidR="00B125A8" w:rsidRDefault="00EE25F7">
      <w:r>
        <w:t>Das Projekt „Reisen für Alle“ ist ein bundesweites Kennzeichnungssystem, das barrierefreie touristische Angebote in Deutschland transparent und zuverlässig beschreibt. Es deckt die gesamte Reisekette ab – von Unterkünften über Sehenswürdig</w:t>
      </w:r>
      <w:r>
        <w:t>keiten bis hin zu Verkehrsmitteln. Vorgestellt werden ausschließlich geprüfte Angebote. Menschen mit Gehbehinderung und Rollstuhlfahrer werden hier ebenso fündig wie Menschen mit Hör- oder Sehbehinderung sowie mit kognitiven Einschränkungen.</w:t>
      </w:r>
    </w:p>
    <w:p w14:paraId="3E02DEE0" w14:textId="77777777" w:rsidR="00B125A8" w:rsidRDefault="00EE25F7">
      <w:r>
        <w:lastRenderedPageBreak/>
        <w:t xml:space="preserve">Neben „Reisen </w:t>
      </w:r>
      <w:r>
        <w:t>für Alle“ bieten zahlreiche Webseiten von Gemeinden und Projekten Informationen zu Wanderwegen für Menschen mit Behinderung. Spannend ist übrigens die Arbeit von Hans-Peter Matt im Naturpark Nordschwarzwald-Mitte. Deutschlands erster Wanderführer im Rollst</w:t>
      </w:r>
      <w:r>
        <w:t xml:space="preserve">uhl schult Wanderleiter ohne Behinderung zum Thema Barrierefreiheit. Auf der Naturpark-Webseite präsentiert er zudem zahlreiche Barrierefrei-Bewertungen für Wanderwege. </w:t>
      </w:r>
      <w:r>
        <w:rPr>
          <w:b/>
        </w:rPr>
        <w:t>Robert Manu</w:t>
      </w:r>
    </w:p>
    <w:p w14:paraId="0F2D1F01" w14:textId="77777777" w:rsidR="00B125A8" w:rsidRDefault="00EE25F7">
      <w:pPr>
        <w:pStyle w:val="berschrift1"/>
      </w:pPr>
      <w:bookmarkStart w:id="33" w:name="_Toc226531894"/>
      <w:r>
        <w:t>Gefährliche Phishing-Mails im Umlauf</w:t>
      </w:r>
      <w:bookmarkEnd w:id="33"/>
    </w:p>
    <w:p w14:paraId="510B24DB" w14:textId="77777777" w:rsidR="00B125A8" w:rsidRDefault="00EE25F7">
      <w:pPr>
        <w:pStyle w:val="Standard-Fett"/>
      </w:pPr>
      <w:r>
        <w:t>Deutsche Rentenversicherung rät, sie n</w:t>
      </w:r>
      <w:r>
        <w:t>icht anzuklicken oder zu beantworten</w:t>
      </w:r>
    </w:p>
    <w:p w14:paraId="3391C7F1" w14:textId="77777777" w:rsidR="00B125A8" w:rsidRDefault="00EE25F7">
      <w:pPr>
        <w:pStyle w:val="Vorspann"/>
      </w:pPr>
      <w:r>
        <w:t>Die Deutsche Rentenversicherung (DRV) warnt vor einer neuen Masche von Trickbetrügern: Diese versenden gefälschte E-Mails mit dem Logo der DRV und fordern die Empfängerinnen und Empfänger auf, ihre Daten preiszugeben od</w:t>
      </w:r>
      <w:r>
        <w:t xml:space="preserve">er zu aktualisieren. </w:t>
      </w:r>
    </w:p>
    <w:p w14:paraId="7AB02EFB" w14:textId="77777777" w:rsidR="00B125A8" w:rsidRDefault="00EE25F7">
      <w:r>
        <w:t>In manchen dieser Mails wird sogar gedroht, dass sonst die Rente gefährdet sei oder man Strafe zahlen müsse. Die sogenannten Phishing-Mails wirken auf den ersten Blick täuschend echt, da sie fast genauso aussehen wie die E-Mails von d</w:t>
      </w:r>
      <w:r>
        <w:t xml:space="preserve">er Rentenversicherung. Lediglich die Adresse des Absenders, beispielsweise „noreply@drv.de“ oder „admin@lenterasafety.co.id“ weist auf eine Fälschung hin. </w:t>
      </w:r>
    </w:p>
    <w:p w14:paraId="5407497F" w14:textId="77777777" w:rsidR="00B125A8" w:rsidRDefault="00EE25F7">
      <w:pPr>
        <w:pStyle w:val="Zwischentitel"/>
      </w:pPr>
      <w:r>
        <w:t>Auf Tippfehler achten</w:t>
      </w:r>
    </w:p>
    <w:p w14:paraId="369B5FC9" w14:textId="77777777" w:rsidR="00B125A8" w:rsidRDefault="00EE25F7">
      <w:r>
        <w:t>Die DRV empfiehlt, jede E-Mail genau zu überprüfen. Auch Rechtschreibfehler od</w:t>
      </w:r>
      <w:r>
        <w:t>er ungewöhnliche Anredeformen können auf einen Betrugsversuch hinweisen. Wer eine verdächtige E-Mail in seinem Posteingang findet, sollte diese sofort in den Spam-Ordner verschieben. Auf keinen Fall darf sie geöffnet oder beantwortet werden, um seine Daten</w:t>
      </w:r>
      <w:r>
        <w:t xml:space="preserve"> zu schützen und seinen Computer nicht zu gefährden.</w:t>
      </w:r>
    </w:p>
    <w:p w14:paraId="01B662E9" w14:textId="77777777" w:rsidR="00B125A8" w:rsidRDefault="00EE25F7">
      <w:r>
        <w:t>Auch am Telefon sind die Betrüger aktiv: Beispielsweise rufen vermeintliche Mitarbeiter der DRV an und behaupten, die oder der Angerufene bekäme zu viel Rente ausbezahlt. Ein Teil müsse  zurücküberwiesen</w:t>
      </w:r>
      <w:r>
        <w:t xml:space="preserve"> werden, sonst werde die Rente gekürzt. Die DRV rät, sofort aufzulegen. </w:t>
      </w:r>
    </w:p>
    <w:p w14:paraId="4CFD43A9" w14:textId="77777777" w:rsidR="00B125A8" w:rsidRDefault="00EE25F7">
      <w:r>
        <w:t>Manche Menschen werden per SMS angeschrieben, dass eine Rentenrückerstattung zu erwarten sei. Die Empfängerin oder der Empfänger wird aufgefordert, Anhänge oder Links zu anderen Webse</w:t>
      </w:r>
      <w:r>
        <w:t xml:space="preserve">iten zu öffnen. Das sollte man aber auf keinen Fall tun. </w:t>
      </w:r>
    </w:p>
    <w:p w14:paraId="2B197B05" w14:textId="77777777" w:rsidR="00B125A8" w:rsidRDefault="00EE25F7">
      <w:r>
        <w:t>Im Umlauf sind außerdem gefälschte Briefe der DRV, in denen verlangt wird, die darin angegebene Telefonnummer anzurufen. Die Betrüger am anderen Ende der Leitung behaupten, es sei noch eine Forderun</w:t>
      </w:r>
      <w:r>
        <w:t xml:space="preserve">g offen, die auf eine bestimmte Kontoverbindung überwiesen werden soll. Auch Gewinnspielbetrug oder unangemeldete Besuche an der Haustür sollen die </w:t>
      </w:r>
      <w:r>
        <w:lastRenderedPageBreak/>
        <w:t>potenziellen Opfer überrumpeln, sodass sie entweder ihre Daten preisgeben oder Geld überweisen.</w:t>
      </w:r>
    </w:p>
    <w:p w14:paraId="0B914A62" w14:textId="77777777" w:rsidR="00B125A8" w:rsidRDefault="00EE25F7">
      <w:r>
        <w:t>Die DRV stel</w:t>
      </w:r>
      <w:r>
        <w:t xml:space="preserve">lt klar, dass sie nie am Telefon oder per SMS nach Geld oder persönlichen Daten fragen würde. Wer sich unsicher ist, kann sich gerne an das Servicetelefon der Deutschen Rentenversicherung wenden: 0800 1000 4800. </w:t>
      </w:r>
      <w:r>
        <w:rPr>
          <w:b/>
        </w:rPr>
        <w:t xml:space="preserve">  Annette Liebmann</w:t>
      </w:r>
    </w:p>
    <w:p w14:paraId="5FDF43BA" w14:textId="77777777" w:rsidR="00B125A8" w:rsidRDefault="00EE25F7">
      <w:pPr>
        <w:pStyle w:val="berschrift1"/>
      </w:pPr>
      <w:bookmarkStart w:id="34" w:name="_Toc226531895"/>
      <w:r>
        <w:t>Schlechte Noten für Zucke</w:t>
      </w:r>
      <w:r>
        <w:t>r</w:t>
      </w:r>
      <w:bookmarkEnd w:id="34"/>
    </w:p>
    <w:p w14:paraId="13362445" w14:textId="77777777" w:rsidR="00B125A8" w:rsidRDefault="00EE25F7">
      <w:pPr>
        <w:pStyle w:val="Standard-Fett"/>
      </w:pPr>
      <w:r>
        <w:t>Verschärfte Regeln für den Nutri-Score</w:t>
      </w:r>
    </w:p>
    <w:p w14:paraId="1F1A1B8C" w14:textId="77777777" w:rsidR="00B125A8" w:rsidRDefault="00EE25F7">
      <w:pPr>
        <w:pStyle w:val="Vorspann"/>
      </w:pPr>
      <w:r>
        <w:t>Der Nutri-Score soll Verbraucherinnen und Verbrauchern helfen, im Supermarkt gesunde und weniger gesunde Lebensmittel voneinander unterscheiden zu können. Nun wurde er überarbeitet.</w:t>
      </w:r>
    </w:p>
    <w:p w14:paraId="479F9157" w14:textId="77777777" w:rsidR="00B125A8" w:rsidRDefault="00EE25F7">
      <w:r>
        <w:t xml:space="preserve">Der Nutri-Score ist eine Ampel mit fünf Buchstaben und fünf Farben von Grün bis Rot. Buchstabe „A“ auf grünem Grund kennzeichnet gesunde Produkte, das „E“ auf rotem Grund steht für kalorienreiche Lebensmittel mit vielen Zusatzstoffen, die sich negativ auf </w:t>
      </w:r>
      <w:r>
        <w:t xml:space="preserve">die Gesundheit auswirken können. Die Lebensmittel-Ampel wurde bereits 2020 eingeführt. Nun wurden die Regeln verschärft. </w:t>
      </w:r>
    </w:p>
    <w:p w14:paraId="4F979B62" w14:textId="77777777" w:rsidR="00B125A8" w:rsidRDefault="00EE25F7">
      <w:pPr>
        <w:pStyle w:val="Zwischentitel"/>
      </w:pPr>
      <w:r>
        <w:t>Milch gilt als Getränk</w:t>
      </w:r>
    </w:p>
    <w:p w14:paraId="0630E435" w14:textId="77777777" w:rsidR="00B125A8" w:rsidRDefault="00EE25F7">
      <w:r>
        <w:t>Neu ist, dass Milch, milchhaltige Produkte sowie Pflanzenmilch den Getränken zugeordnet werden. Bisher galten sie als Nahrungsmittel. In die Beurteilung von Getränken fließt neuerdings auch die Verwendung von Süßstoffen mit ein. Das einzige Getränk, das hi</w:t>
      </w:r>
      <w:r>
        <w:t xml:space="preserve">er mit „A“ ausgezeichnet wird, ist Wasser. </w:t>
      </w:r>
    </w:p>
    <w:p w14:paraId="1CAF846C" w14:textId="77777777" w:rsidR="00B125A8" w:rsidRDefault="00EE25F7">
      <w:r>
        <w:t>In der Kategorie der allgemeinen Lebensmittel wird die Verwendung von Zucker und Salz stärker gewichtet als zuvor. Das heißt, viel davon wirkt sich negativ auf den Nutri-Score aus. Wie bisher gelten auch gesättig</w:t>
      </w:r>
      <w:r>
        <w:t xml:space="preserve">te Fettsäuren, Süßungsmittel und Kaloriengehalt  als ungünstig und verschlechtern die Bewertung. Positiv wirken sich Proteine, Ballaststoffe und pflanzliche Bestandteile aus. Allerdings ist nun ein höherer Anteil an Eiweiß und Ballaststoffen notwendig, um </w:t>
      </w:r>
      <w:r>
        <w:t>zu punkten.</w:t>
      </w:r>
    </w:p>
    <w:p w14:paraId="1477DB6F" w14:textId="77777777" w:rsidR="00B125A8" w:rsidRDefault="00EE25F7">
      <w:r>
        <w:t>Eine Sonderrolle spielen Nüsse, Samen und Öle: Sie sind kalorienreich, enthalten aber viele wertvolle Inhaltsstoffe. Da sie bei der Bewertung bisher schlechter abgeschnitten hatten, werden sie nun in einer eigenen Kategorie zusammengefasst.</w:t>
      </w:r>
    </w:p>
    <w:p w14:paraId="5529EDA4" w14:textId="77777777" w:rsidR="00B125A8" w:rsidRDefault="00EE25F7">
      <w:r>
        <w:t>Nic</w:t>
      </w:r>
      <w:r>
        <w:t xml:space="preserve">ht alle Produkte tragen einen Nutri-Score, denn hierbei handelt es sich um eine freiwillige Angabe der Hersteller. Daneben gibt es eine ganze Reihe gesunder Nahrungsmittel, die nicht gekennzeichnet werden, nämlich frisches Obst und Gemüse. </w:t>
      </w:r>
      <w:r>
        <w:rPr>
          <w:b/>
        </w:rPr>
        <w:t>ali</w:t>
      </w:r>
    </w:p>
    <w:p w14:paraId="448E8EE2" w14:textId="77777777" w:rsidR="00B125A8" w:rsidRDefault="00EE25F7">
      <w:pPr>
        <w:pStyle w:val="berschrift1"/>
      </w:pPr>
      <w:bookmarkStart w:id="35" w:name="_Toc226531896"/>
      <w:r>
        <w:lastRenderedPageBreak/>
        <w:t xml:space="preserve">Ein Zeichen </w:t>
      </w:r>
      <w:r>
        <w:t>für ökologische Produktion</w:t>
      </w:r>
      <w:bookmarkEnd w:id="35"/>
      <w:r>
        <w:t xml:space="preserve"> </w:t>
      </w:r>
    </w:p>
    <w:p w14:paraId="2C0C59EE" w14:textId="77777777" w:rsidR="00B125A8" w:rsidRDefault="00EE25F7">
      <w:pPr>
        <w:pStyle w:val="Standard-Fett"/>
      </w:pPr>
      <w:r>
        <w:t>25 Jahre Bio-Siegel: Über 112 000 Produkte von mehr als 7300 Unternehmen sind derzeit registriert</w:t>
      </w:r>
    </w:p>
    <w:p w14:paraId="70E2D387" w14:textId="77777777" w:rsidR="00B125A8" w:rsidRDefault="00EE25F7">
      <w:pPr>
        <w:pStyle w:val="Vorspann"/>
      </w:pPr>
      <w:r>
        <w:t>Mit dem Ziel, Bio-Produkte verlässlich erkennbar zu machen, wurde das Bio-Siegel 2001 vom damaligen Bundesministerium für Ernährun</w:t>
      </w:r>
      <w:r>
        <w:t>g und Landwirtschaft eingeführt. In diesem Jahr feiert es sein 25-jähriges Bestehen.</w:t>
      </w:r>
    </w:p>
    <w:p w14:paraId="48D9DA9A" w14:textId="77777777" w:rsidR="00B125A8" w:rsidRDefault="00EE25F7">
      <w:r>
        <w:t>Das sechseckige Siegel soll Verbraucherinnen und Verbrauchern helfen, auf einen Blick Produkte und Lebensmittel zu erkennen, die nach den EU-Rechtsvorschriften für den öko</w:t>
      </w:r>
      <w:r>
        <w:t>logischen Landbau produziert und kontrolliert wurden. Bereits ein Jahr nach dem Start waren mehr als 12 000 Produkte von 651 Unternehmen für die Kennzeichnung registriert, allen voran Brot- und Backwaren. Ein Vierteljahrhundert später hat sich die Zahl der</w:t>
      </w:r>
      <w:r>
        <w:t xml:space="preserve"> Siegelnutzenden schon verelffacht und die der registrierten Produkte verneunfacht.</w:t>
      </w:r>
    </w:p>
    <w:p w14:paraId="68A429D3" w14:textId="77777777" w:rsidR="00B125A8" w:rsidRDefault="00EE25F7">
      <w:r>
        <w:t xml:space="preserve">In Zahlen ausgedrückt: Mehr als 112 000 Produkte in 29 Warengruppen von rund 7300 Unternehmen hat die Bundesanstalt für Landwirtschaft und Ernährung (BLE) aktuell in ihrer </w:t>
      </w:r>
      <w:r>
        <w:t>Datenbank registriert. An erster Stelle stehen Heißgetränke mit fast 18 000 Produkten, gefolgt von Kräutern und Gewürzen mit knapp 13 000.</w:t>
      </w:r>
    </w:p>
    <w:p w14:paraId="7CE5625C" w14:textId="77777777" w:rsidR="00B125A8" w:rsidRDefault="00EE25F7">
      <w:r>
        <w:t>„Der beständige Zuwachs an Unternehmen in den vergangenen 25 Jahren verdeutlicht die Bekanntheit und das Vertrauen in</w:t>
      </w:r>
      <w:r>
        <w:t xml:space="preserve"> dieses Siegel“, betont BLE-Präsidentin Dr. Margareta Büning-Fesel. „Nur wer sich an die gesetzliche Vorgabe durch die EU-Öko-Verordnung hält und sich regelmäßig kontrollieren lässt, darf das Bio-Siegel nutzen. Das wissen die Verbraucherinnen und Verbrauch</w:t>
      </w:r>
      <w:r>
        <w:t xml:space="preserve">er zu schätzen.“  </w:t>
      </w:r>
    </w:p>
    <w:p w14:paraId="06FB540B" w14:textId="77777777" w:rsidR="00B125A8" w:rsidRDefault="00EE25F7">
      <w:pPr>
        <w:pStyle w:val="Zwischentitel"/>
      </w:pPr>
      <w:r>
        <w:t>Tee ist Spitzenreiter</w:t>
      </w:r>
    </w:p>
    <w:p w14:paraId="72D3DDC5" w14:textId="77777777" w:rsidR="00B125A8" w:rsidRDefault="00EE25F7">
      <w:r>
        <w:t xml:space="preserve">Insbesondere Tee trägt dazu bei, dass die Anzahl an Bio-Siegel-Nutzenden kontinuierlich steigt. Im vierten Quartal 2025 war Tee mit 16 201 Produkten absoluter Spitzenreiter. Dabei nimmt der Kräutertee in all seinen </w:t>
      </w:r>
      <w:r>
        <w:t xml:space="preserve">Variationen mit 13 523 Siegeln die größte Rolle ein. </w:t>
      </w:r>
    </w:p>
    <w:p w14:paraId="44EFBC1D" w14:textId="77777777" w:rsidR="00B125A8" w:rsidRDefault="00EE25F7">
      <w:r>
        <w:t>Durch die neueste Bio-Siegel-Warengruppe „Futtermittel/Heimtierfuttermittel“, die im dritten Quartal 2024 dazukam, können nun auch die tierischen Familienmitglieder mit geprüften Bioprodukten ernährt we</w:t>
      </w:r>
      <w:r>
        <w:t xml:space="preserve">rden. Neben fleischhaltigem Futter sind Vogelfutter sowie Heu für Nagetiere ebenfalls Bestandteile dieser Warengruppe, die aktuell knapp 1700 Produkte von 140 Unternehmen beinhaltet. </w:t>
      </w:r>
    </w:p>
    <w:p w14:paraId="3C106D97" w14:textId="77777777" w:rsidR="00B125A8" w:rsidRDefault="00EE25F7">
      <w:r>
        <w:t xml:space="preserve">Seit 2022 können auch eng mit der Landwirtschaft verbundene Erzeugnisse </w:t>
      </w:r>
      <w:r>
        <w:t>für das Bio-Siegel registriert werden. Somit können Verbraucherinnen und Verbraucher in weiteren Bereichen des Alltags auf kontrollierte biologische Produkte zurückgreifen.</w:t>
      </w:r>
    </w:p>
    <w:p w14:paraId="5D491784" w14:textId="77777777" w:rsidR="00B125A8" w:rsidRDefault="00EE25F7">
      <w:r>
        <w:lastRenderedPageBreak/>
        <w:t xml:space="preserve">Fragen zum Siegel und den Produkten beantwortet die Informationsstelle Bio-Siegel. </w:t>
      </w:r>
      <w:r>
        <w:t xml:space="preserve">Sie ist unter Telefon (02 28) 68 45-22 00 sowie per E-Mail an bio-siegel@ble.de erreichbar.  </w:t>
      </w:r>
      <w:r>
        <w:rPr>
          <w:b/>
        </w:rPr>
        <w:t>Mirko Besch</w:t>
      </w:r>
    </w:p>
    <w:p w14:paraId="5817FEBD" w14:textId="77777777" w:rsidR="00B125A8" w:rsidRDefault="00EE25F7">
      <w:pPr>
        <w:pStyle w:val="berschrift1"/>
      </w:pPr>
      <w:bookmarkStart w:id="36" w:name="_Toc226531897"/>
      <w:r>
        <w:t>Ihre tägliche Dosis Humor</w:t>
      </w:r>
      <w:bookmarkEnd w:id="36"/>
    </w:p>
    <w:p w14:paraId="2B94860F" w14:textId="77777777" w:rsidR="00B125A8" w:rsidRDefault="00EE25F7">
      <w:pPr>
        <w:pStyle w:val="Standard-Fett"/>
      </w:pPr>
      <w:r>
        <w:t>Die Sprecherin des Berufsverbands für Lachyoga erklärt, warum Lachen glücklicher und gesünder macht</w:t>
      </w:r>
    </w:p>
    <w:p w14:paraId="7BE7A86A" w14:textId="77777777" w:rsidR="00B125A8" w:rsidRDefault="00EE25F7">
      <w:pPr>
        <w:pStyle w:val="Vorspann"/>
      </w:pPr>
      <w:r>
        <w:t>Inge Fechter aus dem ober</w:t>
      </w:r>
      <w:r>
        <w:t>bayerischen Rosenheim erzählt, warum Lachen ihr neuen Lebensmut gegeben hat und sogar zur Lebensaufgabe wurde. Die Lachyoga-Trainerin gibt die Kraft des Humors an andere weiter und empfiehlt: „Jede und jeder sollte sich im Alltag mehr Fröhlichkeit erlauben</w:t>
      </w:r>
      <w:r>
        <w:t>.“</w:t>
      </w:r>
    </w:p>
    <w:p w14:paraId="0134E8D7" w14:textId="77777777" w:rsidR="00B125A8" w:rsidRDefault="00EE25F7">
      <w:r>
        <w:t xml:space="preserve">Als Inge Fechter einen Knoten in der Brust bemerkte, war sie 46 Jahre alt. „Die Diagnose Brustkrebs war ein Schock und fühlte sich wie ein Todesurteil an. Meine Mutter war selbst im Alter von 50 daran erkrankt.“ Damals waren Inge Fechters Kinder in der </w:t>
      </w:r>
      <w:r>
        <w:t>Pubertät. „Ich war verzweifelt, weinte und fragte mich: Wie geht es weiter?“</w:t>
      </w:r>
    </w:p>
    <w:p w14:paraId="65D53D2C" w14:textId="77777777" w:rsidR="00B125A8" w:rsidRDefault="00EE25F7">
      <w:r>
        <w:t>Sie dachte, sie muss stark bleiben, wollte sich nicht verletzlich zeigen. „Doch dann habe ich der Familie ehrlich meine Sorgen mitgeteilt. Es war so erleichternd, mit der Krankhei</w:t>
      </w:r>
      <w:r>
        <w:t>t offen umzugehen.“ Auch in der Buchhandlung, in der sie arbeitete, hatte sie ein vertrauensvolles Umfeld. „Dadurch konnte ich Hilfe annehmen und meine Energie auf den Heilungsprozess richten.“</w:t>
      </w:r>
    </w:p>
    <w:p w14:paraId="40989C40" w14:textId="77777777" w:rsidR="00B125A8" w:rsidRDefault="00EE25F7">
      <w:pPr>
        <w:pStyle w:val="Zwischentitel"/>
      </w:pPr>
      <w:r>
        <w:t>Humor gegen Tumor</w:t>
      </w:r>
    </w:p>
    <w:p w14:paraId="39AF0B55" w14:textId="77777777" w:rsidR="00B125A8" w:rsidRDefault="00EE25F7">
      <w:r>
        <w:t>Es gab immer wieder Momente, in denen sie de</w:t>
      </w:r>
      <w:r>
        <w:t>n Mut verlor. Da kam ihr damals 14-jähriger Sohn Jonas auf eine Idee, um sie zu trösten: „Er hat mir jeden Abend eine Stunde gemeinsames Lachen verschrieben. Zum Beispiel schauten wir uns lustige Filme an. Anfangs habe ich das ehrlicherweise mehr für meine</w:t>
      </w:r>
      <w:r>
        <w:t>n Sohn getan als für mich.“ Doch das Rezept wirkte schneller und nachhaltiger als gedacht. „Ich habe durch die tägliche Dosis Humor auf einmal mehr Kraft gespürt. Ich kam auf andere Gedanken und habe gemerkt: Ich drehe den Spieß um. Nicht die Krankheit hat</w:t>
      </w:r>
      <w:r>
        <w:t xml:space="preserve"> mich im Griff, sondern ich entscheide, wie viel Platz ich ihr einräume. Dadurch bin ich viel zuversichtlicher in die Operation gegangen“, blickt die heute 56-Jährige zurück.</w:t>
      </w:r>
    </w:p>
    <w:p w14:paraId="0B528BAE" w14:textId="77777777" w:rsidR="00B125A8" w:rsidRDefault="00EE25F7">
      <w:r>
        <w:t>Inge Fechter wollte mehr darüber wissen, wie Lachen die Gesundheit beeinflusst, u</w:t>
      </w:r>
      <w:r>
        <w:t>nd las Bücher und Artikel. Zudem nahm sie an einem mehrwöchigen Lachyoga-Seminar teil und war so angetan, dass sie dachte: „Das will ich auch: Andere dazu einladen, ihren Humor und ihr Lachen zu entdecken.“ Sie entschied, ihren Job im Buchladen nach zehn J</w:t>
      </w:r>
      <w:r>
        <w:t>ahren zu kündigen, um sich beim Europäischen Berufsverband für Lachyoga und Humortraining als Lachyoga-Trainerin ausbilden zu lassen. Heute ist Inge Fechter Pressesprecherin des Lachverbands und bildet selbst Lachyoga-Trainerinnen und -trainer aus.</w:t>
      </w:r>
    </w:p>
    <w:p w14:paraId="78C556D8" w14:textId="77777777" w:rsidR="00B125A8" w:rsidRDefault="00EE25F7">
      <w:pPr>
        <w:pStyle w:val="Zwischentitel"/>
      </w:pPr>
      <w:r>
        <w:lastRenderedPageBreak/>
        <w:t>Witze e</w:t>
      </w:r>
      <w:r>
        <w:t>rzählen im Park</w:t>
      </w:r>
    </w:p>
    <w:p w14:paraId="45A184FE" w14:textId="77777777" w:rsidR="00B125A8" w:rsidRDefault="00EE25F7">
      <w:r>
        <w:t xml:space="preserve">Begründer des Lachyoga ist der indische Arzt Dr. Madan Kataria. „Er und seine Frau, eine Yoga-Lehrerin, kamen 1995 auf eine simple Idee: Sie trafen sich mit anderen im Park und erzählten einander Witze“, sagt Inge Fechter. Nach zwei Wochen </w:t>
      </w:r>
      <w:r>
        <w:t>fielen ihnen aber keine Scherze mehr ein. Dann entwickelten die beiden Lachübungen.</w:t>
      </w:r>
    </w:p>
    <w:p w14:paraId="6077ED19" w14:textId="77777777" w:rsidR="00B125A8" w:rsidRDefault="00EE25F7">
      <w:r>
        <w:t>Spielerisches Lachen wird mit Atemübungen aus dem Yoga verbunden. „Auch Dehnen und Klatschen, Singen und Tanzen gehören dazu“, berichtet die Lachyoga-Lehrerin aus Rosenheim</w:t>
      </w:r>
      <w:r>
        <w:t>. Sie erklärt den wissenschaftlichen Hintergrund: „Lachen macht den Kopf frei. Die Grübelnetzwerke im Gehirn haben Pause. Eine Metastudie der Universität Jena hat sogar gezeigt, dass beim absichtlichen Lachen die gleichen körperlichen Prozesse ausgelöst we</w:t>
      </w:r>
      <w:r>
        <w:t>rden wie beim spontanen Lachen, und dass Lachyoga positive Effekte hat: Es reduziert Stresshormone. Gleichzeitig werden Glückshormone ausgeschüttet.“</w:t>
      </w:r>
    </w:p>
    <w:p w14:paraId="73CFB657" w14:textId="77777777" w:rsidR="00B125A8" w:rsidRDefault="00EE25F7">
      <w:r>
        <w:t>Jeder Mensch erlebt belastende Phasen. Doch jede und jeder kann üben, mehr Fröhlichkeit in den Alltag zu ü</w:t>
      </w:r>
      <w:r>
        <w:t>bernehmen. Das Gehirn bekommt positive Signale mit diesen Tipps der Expertin: „Sich immer wieder loben. Man kann sich auch kurz auf die Schulter klopfen. Bitte ebenfalls andere loben.“ Eine weitere Übung, die sie gerne mitgibt: „Gleich morgens vor den Spie</w:t>
      </w:r>
      <w:r>
        <w:t xml:space="preserve">gel stellen, den Kopf dabei aufrichten und sich anlächeln. Den Tag begrüßen: Das wird ein toller Tag, ich freue mich darauf.“ </w:t>
      </w:r>
    </w:p>
    <w:p w14:paraId="029314C8" w14:textId="77777777" w:rsidR="00B125A8" w:rsidRDefault="00EE25F7">
      <w:r>
        <w:t xml:space="preserve">Das zehnjährige Jubiläum ihrer Krebsdiagnose feiert Inge Fechter: „Ich bin dankbar für diese geschenkten Jahre. Lachyoga war und </w:t>
      </w:r>
      <w:r>
        <w:t xml:space="preserve">ist mein Selbsthilfe-Werkzeug.“ </w:t>
      </w:r>
      <w:r>
        <w:rPr>
          <w:b/>
        </w:rPr>
        <w:t>Elisabeth Antritter</w:t>
      </w:r>
    </w:p>
    <w:p w14:paraId="5F90E2CB" w14:textId="77777777" w:rsidR="00B125A8" w:rsidRDefault="00EE25F7">
      <w:r>
        <w:t xml:space="preserve">   </w:t>
      </w:r>
      <w:hyperlink r:id="rId8">
        <w:r>
          <w:rPr>
            <w:color w:val="0015B7"/>
          </w:rPr>
          <w:t>lachverband.org</w:t>
        </w:r>
      </w:hyperlink>
    </w:p>
    <w:p w14:paraId="5459710B" w14:textId="77777777" w:rsidR="00B125A8" w:rsidRDefault="00EE25F7">
      <w:pPr>
        <w:pStyle w:val="berschrift1"/>
      </w:pPr>
      <w:bookmarkStart w:id="37" w:name="_Toc226531898"/>
      <w:r>
        <w:t>Heiß und knusprig</w:t>
      </w:r>
      <w:bookmarkEnd w:id="37"/>
    </w:p>
    <w:p w14:paraId="0652A80A" w14:textId="77777777" w:rsidR="00B125A8" w:rsidRDefault="00EE25F7">
      <w:pPr>
        <w:pStyle w:val="Standard-Fett"/>
      </w:pPr>
      <w:r>
        <w:t>Gerichte in Heißluftfritteuse zubereiten</w:t>
      </w:r>
    </w:p>
    <w:p w14:paraId="2C053078" w14:textId="77777777" w:rsidR="00B125A8" w:rsidRDefault="00EE25F7">
      <w:pPr>
        <w:pStyle w:val="Vorspann"/>
      </w:pPr>
      <w:r>
        <w:t>Mit einem Airfryer (Heißluftfritteuse) lassen sich beispielsweise Hähnchenflügel, Kartoffelspalten, Gemüsechips oder Fisch zubereiten. Hersteller werben vor allem damit, dass die Zubereitung fast kein Fett benötigt. Zudem spart das Gerät im Vergleich zum B</w:t>
      </w:r>
      <w:r>
        <w:t xml:space="preserve">ackofen Energie. </w:t>
      </w:r>
    </w:p>
    <w:p w14:paraId="5E214535" w14:textId="77777777" w:rsidR="00B125A8" w:rsidRDefault="00EE25F7">
      <w:r>
        <w:t>In den vergangenen Jahren haben sich viele Verbraucherinnen und Verbraucher eine Heißluftfritteuse angeschafft. Viele verschiedene Modelle sind auf dem Markt. Wer sich informieren möchte, findet Testberichte und spezielle Kochbücher.</w:t>
      </w:r>
    </w:p>
    <w:p w14:paraId="3D68E562" w14:textId="77777777" w:rsidR="00B125A8" w:rsidRDefault="00EE25F7">
      <w:r>
        <w:t>Airf</w:t>
      </w:r>
      <w:r>
        <w:t>ryer gibt es schon seit 25 Jahren, doch einen Aufschwung erleben sie etwa seit 2015, auch dank der Verbreitung über soziale Medien. Das Marktforschungsinstitut NIQ fand heraus, dass in Deutschland im vergangenen Jahr 5,8 Millionen Stück verkauft wurden. 20</w:t>
      </w:r>
      <w:r>
        <w:t>19 waren es 1,3 Millionen.</w:t>
      </w:r>
    </w:p>
    <w:p w14:paraId="7C34C65A" w14:textId="77777777" w:rsidR="00B125A8" w:rsidRDefault="00EE25F7">
      <w:pPr>
        <w:pStyle w:val="Zwischentitel"/>
      </w:pPr>
      <w:r>
        <w:lastRenderedPageBreak/>
        <w:t>Beliebt bei Singles</w:t>
      </w:r>
    </w:p>
    <w:p w14:paraId="0FAA5E2A" w14:textId="77777777" w:rsidR="00B125A8" w:rsidRDefault="00EE25F7">
      <w:r>
        <w:t xml:space="preserve">Die Elektrogeräte sind besonders bei berufstätigen Singles beliebt. Denn in Ein-Personen-Haushalten werden sie häufig als Mini-Backofen benutzt. Die Zubereitung der Speisen spart Zeit und ist ideal für kleine </w:t>
      </w:r>
      <w:r>
        <w:t xml:space="preserve">Portionen. Zudem passt es zu einer gesunden Lebensführung. So gibt „Ökotest“ an, dass im Vergleich zu normalen Fritteusen bis zu 90 Prozent weniger des Schadstoffs Acrylamid entsteht, wenn Gerichte in einer Heißluftfritteuse zubereitet werden. </w:t>
      </w:r>
    </w:p>
    <w:p w14:paraId="15EB214A" w14:textId="77777777" w:rsidR="00B125A8" w:rsidRDefault="00EE25F7">
      <w:r>
        <w:t xml:space="preserve">Inzwischen </w:t>
      </w:r>
      <w:r>
        <w:t xml:space="preserve">haben diese Geräte auch Mehr-Personen-Haushalte erobert. Es gibt größere Modelle mit zwei Schubladen. </w:t>
      </w:r>
    </w:p>
    <w:p w14:paraId="7868D7EA" w14:textId="77777777" w:rsidR="00B125A8" w:rsidRDefault="00EE25F7">
      <w:r>
        <w:t>Airfryer nutzen Umluft und eignen sich sowohl für die vegane und vegetarische Küche als auch für die Zubereitung von Fleisch und Fisch. Ob krosse Brotwür</w:t>
      </w:r>
      <w:r>
        <w:t>fel, Aufläufe mit Käse- oder Béchamelsoßen, Pommes, Quiche, Koteletts oder Filets – die Vielfalt ist groß.</w:t>
      </w:r>
    </w:p>
    <w:p w14:paraId="69302983" w14:textId="77777777" w:rsidR="00B125A8" w:rsidRDefault="00EE25F7">
      <w:r>
        <w:t>Für Menschen, die wenig Zeit haben, aber selbst kochen möchten, kann sich ein Airfryer lohnen. Zuvor sollte man sich überlegen, für wie viele Portion</w:t>
      </w:r>
      <w:r>
        <w:t xml:space="preserve">en das Küchenutensil angeschafft wird. Je nach Modell kosten die Geräte zwischen 50 und 300 Euro. </w:t>
      </w:r>
      <w:r>
        <w:rPr>
          <w:b/>
        </w:rPr>
        <w:t>ant</w:t>
      </w:r>
    </w:p>
    <w:p w14:paraId="77B56A04" w14:textId="77777777" w:rsidR="00B125A8" w:rsidRDefault="00EE25F7">
      <w:pPr>
        <w:pStyle w:val="berschrift1"/>
      </w:pPr>
      <w:bookmarkStart w:id="38" w:name="_Toc226531899"/>
      <w:r>
        <w:t>Schadstoffe raus, Sauerstoff rein</w:t>
      </w:r>
      <w:bookmarkEnd w:id="38"/>
    </w:p>
    <w:p w14:paraId="05B11D15" w14:textId="77777777" w:rsidR="00B125A8" w:rsidRDefault="00EE25F7">
      <w:pPr>
        <w:pStyle w:val="Standard-Fett"/>
      </w:pPr>
      <w:r>
        <w:t>Richtiges Lüften steigert die Lebensqualität</w:t>
      </w:r>
    </w:p>
    <w:p w14:paraId="76B56B65" w14:textId="77777777" w:rsidR="00B125A8" w:rsidRDefault="00EE25F7">
      <w:pPr>
        <w:pStyle w:val="Vorspann"/>
      </w:pPr>
      <w:r>
        <w:t>Wer zu Hause regelmäßig lüftet, lebt gesünder: Der Sauerstoffgehalt in den Räumen steigt, und man fühlt sich energiegeladener. Hinzu kommt, dass die frische Luft Schadstoffe wie Feinstaub, flüchtige organische Verbindungen, Krankheitserreger oder Schimmelp</w:t>
      </w:r>
      <w:r>
        <w:t xml:space="preserve">ilze minimiert. </w:t>
      </w:r>
    </w:p>
    <w:p w14:paraId="28E5E772" w14:textId="77777777" w:rsidR="00B125A8" w:rsidRDefault="00EE25F7">
      <w:r>
        <w:t xml:space="preserve">Durch mehrmaliges Lüften am Tag gelangen Luftfeuchtigkeit und schlechte Gerüche nach draußen.Querlüften ist am effektivsten. Hierbei werden mehrmals täglich Fenster oder Türen in mehreren Räumen für fünf bis zehn Minuten weit geöffnet, um </w:t>
      </w:r>
      <w:r>
        <w:t xml:space="preserve">verbrauchte Luft gegen frische Außenluft auszutauschen. Das erzeugt einen schnellen Durchzug – große Luftmengen werden in kurzer Zeit ausgetauscht. </w:t>
      </w:r>
    </w:p>
    <w:p w14:paraId="16ECCDAB" w14:textId="77777777" w:rsidR="00B125A8" w:rsidRDefault="00EE25F7">
      <w:r>
        <w:t>Im Winter verhindert das Lüften Schimmelbildung und beugt Atemwegsinfektionen vor, im Sommer senkt es die R</w:t>
      </w:r>
      <w:r>
        <w:t>aumfeuchte und mindert das Risiko für Allergien.</w:t>
      </w:r>
    </w:p>
    <w:p w14:paraId="159AD704" w14:textId="77777777" w:rsidR="00B125A8" w:rsidRDefault="00EE25F7">
      <w:pPr>
        <w:pStyle w:val="Zwischentitel"/>
      </w:pPr>
      <w:r>
        <w:t>Erholsamer Schlaf</w:t>
      </w:r>
    </w:p>
    <w:p w14:paraId="70376946" w14:textId="77777777" w:rsidR="00B125A8" w:rsidRDefault="00EE25F7">
      <w:r>
        <w:t>Etwa 90 Prozent der Lebenszeit verbringen Menschen in Industrienationen in geschlossenen Räumen. Umso wichtiger ist es, auf die Luftqualität zu achten. Erhöhte Kohlendioxid-Konzentrationen,</w:t>
      </w:r>
      <w:r>
        <w:t xml:space="preserve"> Feinstaub und flüchtige organische Verbindungen, die durch Böden, Möbel oder anderes Inventar ausgedünstet werden können, beeinträchtigen die Leistungsfähigkeit und das allgemeine Wohlbefinden. Kopfschmerzen, Konzentrationsschwäche oder Müdigkeit können d</w:t>
      </w:r>
      <w:r>
        <w:t xml:space="preserve">ie Folge sein. Regelmäßiges Lüften schafft Abhilfe und verbessert auch die Schlafqualität. Denn </w:t>
      </w:r>
      <w:r>
        <w:lastRenderedPageBreak/>
        <w:t>stickige, verbrauchte Luft in Innenräumen führt häufig zu Müdigkeit und Spannungskopfschmerzen. Frische Luft senkt den Kohlendioxidgehalt und reguliert die Temp</w:t>
      </w:r>
      <w:r>
        <w:t xml:space="preserve">eratur, was für einen erholsamen Schlaf entscheidend ist. </w:t>
      </w:r>
    </w:p>
    <w:p w14:paraId="18CEA4CF" w14:textId="77777777" w:rsidR="00B125A8" w:rsidRDefault="00EE25F7">
      <w:r>
        <w:t>Bleibt die Frage, was es generell mit modernen Fenstern und Türen mit Dichtungen auf sich hat, die in neuen Wohnungen und Häusern schon standardmäßig eingebaut werden. Diese verbessern zwar die Ene</w:t>
      </w:r>
      <w:r>
        <w:t xml:space="preserve">rgieeffizienz, mindern allerdings den natürlichen Luftaustausch, der in Räumen auch ohne Lüften ein wenig vorhanden ist. Umso wichtiger ist es, dass gut gelüftet wird. </w:t>
      </w:r>
    </w:p>
    <w:p w14:paraId="4A954EC6" w14:textId="77777777" w:rsidR="00B125A8" w:rsidRDefault="00EE25F7">
      <w:r>
        <w:t>In vielen Neubauten wird zu den dichten Fenstern auch gleich eine Klimaanlage mit einge</w:t>
      </w:r>
      <w:r>
        <w:t>baut. Diese schützt nicht nur die Bausubstanz und das Inventar vor Feuchtigkeitsschäden, sondern reduziert durch integrierte Filtersysteme auch die Schadstoffbelastung. Eine regelmäßige Wartung der Klimaanlage ist allerdings ein Muss. Ansonsten könnten sic</w:t>
      </w:r>
      <w:r>
        <w:t xml:space="preserve">h Bakterien und Pilze in den Filtern vermehren und sich im ganzen Gebäude verteilen. </w:t>
      </w:r>
      <w:r>
        <w:rPr>
          <w:b/>
        </w:rPr>
        <w:t>Petra J. Huschke</w:t>
      </w:r>
    </w:p>
    <w:p w14:paraId="5CFBD6E6" w14:textId="77777777" w:rsidR="00B125A8" w:rsidRDefault="00EE25F7">
      <w:pPr>
        <w:pStyle w:val="berschrift1"/>
      </w:pPr>
      <w:bookmarkStart w:id="39" w:name="_Toc226531900"/>
      <w:r>
        <w:t>Preiswert reisen</w:t>
      </w:r>
      <w:bookmarkEnd w:id="39"/>
    </w:p>
    <w:p w14:paraId="44700EA5" w14:textId="77777777" w:rsidR="00B125A8" w:rsidRDefault="00EE25F7">
      <w:pPr>
        <w:pStyle w:val="Standard-Fett"/>
      </w:pPr>
      <w:r>
        <w:t>„Früh buchen ist das neue Last Minute“: Deutscher Reiseverband gibt Tipps für Familien und Individualreisende</w:t>
      </w:r>
    </w:p>
    <w:p w14:paraId="19EEA8A9" w14:textId="77777777" w:rsidR="00B125A8" w:rsidRDefault="00EE25F7">
      <w:pPr>
        <w:pStyle w:val="Vorspann"/>
      </w:pPr>
      <w:r>
        <w:t>Urlaub? Aber klar! Trotz Kr</w:t>
      </w:r>
      <w:r>
        <w:t>isen und ökonomischen Herausforderungen bleibt die Lust der Deutschen am Reisen ungebrochen. Wenn dabei gespart werden kann, umso besser. Doch welche Buchungsmethode ist die beste? Das kommt auf die individuellen Ansprüche und die Flexibilität an. Der Deut</w:t>
      </w:r>
      <w:r>
        <w:t>sche Reiseverband (DRV) gibt Tipps.</w:t>
      </w:r>
    </w:p>
    <w:p w14:paraId="73C91144" w14:textId="77777777" w:rsidR="00B125A8" w:rsidRDefault="00EE25F7">
      <w:r>
        <w:t>„Grundsätzlich gilt: Es gibt für jeden Geldbeutel passende Reiseangebote. Möglichst früh buchen, sich im Reisebüro beraten zu lassen und auf Pauschalreisen zu setzen, sind gute Möglichkeiten, beim Reisen zu sparen“, sagt</w:t>
      </w:r>
      <w:r>
        <w:t xml:space="preserve"> Torsten Schäfer, Leiter Kommunikation beim DRV. </w:t>
      </w:r>
    </w:p>
    <w:p w14:paraId="03A84E8D" w14:textId="77777777" w:rsidR="00B125A8" w:rsidRDefault="00EE25F7">
      <w:r>
        <w:t>Früh buchen lohnt sich meist bei festen Reisedaten, beliebten Zielen und bei bestimmten Ferienzeiten, um noch eine gute Auswahl zu haben. „Last Minute“, also kurzfristig buchen, ist ideal für spontane Urlau</w:t>
      </w:r>
      <w:r>
        <w:t>ber, die Restplätze suchen und nicht auf ein bestimmtes Ziel fixiert sind. Früh buchen bietet also deutlich mehr Sicherheit, was besonders bei einem Urlaub mit Kindern ein Plus ist, wenn man auf die Schulferien angewiesen ist.</w:t>
      </w:r>
    </w:p>
    <w:p w14:paraId="6ADA199D" w14:textId="77777777" w:rsidR="00B125A8" w:rsidRDefault="00EE25F7">
      <w:pPr>
        <w:pStyle w:val="Zwischentitel"/>
      </w:pPr>
      <w:r>
        <w:t>Freie Auswahl</w:t>
      </w:r>
    </w:p>
    <w:p w14:paraId="4C15842F" w14:textId="77777777" w:rsidR="00B125A8" w:rsidRDefault="00EE25F7">
      <w:r>
        <w:t>Schäfer favoris</w:t>
      </w:r>
      <w:r>
        <w:t>iert grundsätzlich die Frühbuchervariante: „Dann haben Reisende zum einen das komplette Angebot zur Auswahl, können noch frei planen und darüber hinaus von den diversen Frühbucherangeboten der Reiseveranstalter profitieren – mit Vorteilen von 30, 40 oder m</w:t>
      </w:r>
      <w:r>
        <w:t>ehr Prozent. Zum anderen gibt es häufig noch attraktive Kinderfestpreise.“ Für den Aufenthalt im Urlaubsort empfiehlt der Reiseexperte, auf „all inclusive“ zu setzen. Dann ist das Urlaubsbudget besser planbar, da auch Essen und Trinken schon eingepreist si</w:t>
      </w:r>
      <w:r>
        <w:t>nd.</w:t>
      </w:r>
    </w:p>
    <w:p w14:paraId="707CEB7E" w14:textId="77777777" w:rsidR="00B125A8" w:rsidRDefault="00EE25F7">
      <w:r>
        <w:lastRenderedPageBreak/>
        <w:t>Für den Sommerurlaub gelten laut DRV die Frühbucherpreise in den ersten Wochen und Monaten des Jahres – meist bis Ende März. Es gibt aber auch Angebote, die auf einen bestimmten Stichtag, etwa bis 100 Tage vor Reisebeginn, ausgerichtet sind. Gerade für</w:t>
      </w:r>
      <w:r>
        <w:t xml:space="preserve"> Frühentschlossene hat sich dem DRV zufolge in den vergangenen Jahren viel getan. Schäfer geht sogar so weit und sagt: „Früh buchen ist das neue ,Last Minute‘ der Deutschen“ und erklärt dies damit: „Aufgrund immer besser funktionierender Buchungssysteme – </w:t>
      </w:r>
      <w:r>
        <w:t>insbesondere im Flugbereich – bleiben weniger Restplätze übrig, und das Angebot an kurzfristigen Reisen sinkt tendenziell.“ Punktuell könne es natürlich auch kurzfristig immer noch gute Schnäppchen geben. Das hänge aber oft von der Auslastung von Flügen, Z</w:t>
      </w:r>
      <w:r>
        <w:t xml:space="preserve">ielgebieten und Hotels ab. Allgemein sind bei Kurzfristbuchungen solche ab rund sechs bis vier Wochen vor dem geplanten Reisetermin gemeint. </w:t>
      </w:r>
    </w:p>
    <w:p w14:paraId="03633A9C" w14:textId="77777777" w:rsidR="00B125A8" w:rsidRDefault="00EE25F7">
      <w:pPr>
        <w:pStyle w:val="Zwischentitel"/>
      </w:pPr>
      <w:r>
        <w:t>Pauschalreisen im Trend</w:t>
      </w:r>
    </w:p>
    <w:p w14:paraId="10CC33A3" w14:textId="77777777" w:rsidR="00B125A8" w:rsidRDefault="00EE25F7">
      <w:r>
        <w:t>Der Trend geht zu Pauschalreisen. Diese umfassen mindestens zwei Reiseleistungen von ein und demselben Veranstalter – etwa Flug und Hotel. „Damit sind Kunden rechtlich deutlich besser abgesichert, als wenn sie einzelne Leistungen bei verschiedenen Anbieter</w:t>
      </w:r>
      <w:r>
        <w:t>n wählen“, heißt es beim DRV. Der Reiseverband weist darauf hin, dass es für solche organisierten Reisen (Pauschal- und sogenannte Bausteinreisen von ein und demselben Veranstalter) nur einen Preis gibt, den der Reiseveranstalter festlegt. Damit hat eine s</w:t>
      </w:r>
      <w:r>
        <w:t xml:space="preserve">olche Reise über alle Vertriebskanäle den gleichen Preis – also sowohl im Internet als auch im Reisebüro, am Flughafenschalter oder beim Reiseveranstalter direkt. </w:t>
      </w:r>
    </w:p>
    <w:p w14:paraId="04E5BA34" w14:textId="77777777" w:rsidR="00B125A8" w:rsidRDefault="00EE25F7">
      <w:pPr>
        <w:pStyle w:val="Zwischentitel"/>
      </w:pPr>
      <w:r>
        <w:t>Mit Meerblick</w:t>
      </w:r>
    </w:p>
    <w:p w14:paraId="7C250307" w14:textId="77777777" w:rsidR="00B125A8" w:rsidRDefault="00EE25F7">
      <w:r>
        <w:t xml:space="preserve">Anders sieht es aus, wenn mehrere Veranstalter eine bestimmte Reise anbieten. </w:t>
      </w:r>
      <w:r>
        <w:t xml:space="preserve">Dann können Preisunterschiede etwa durch unterschiedliche Fluggesellschaften, Abflug- und Ankunftszeiten oder eventuelle Zwischenlandungen  entstehen. Auch die Größe und die Lage des Zimmers – mit Meerblick oder auf der Landseite – spielt eine Rolle. </w:t>
      </w:r>
    </w:p>
    <w:p w14:paraId="32F20ED7" w14:textId="77777777" w:rsidR="00B125A8" w:rsidRDefault="00EE25F7">
      <w:r>
        <w:t xml:space="preserve">Bei </w:t>
      </w:r>
      <w:r>
        <w:t xml:space="preserve">der Suche nach Schnäppchen gibt es noch weitere Kniffe. Dazu zählt, den Abflugtag nicht auf den Freitag oder das Wochenende zu legen, und nicht exakt zwei Wochen zu buchen. Häufig ist es günstiger, wenn die Reise über zehn, zwölf oder auch 15 oder 16 Tage </w:t>
      </w:r>
      <w:r>
        <w:t>geht. Auch die Wahl des Abflughafens kann sich auf den Preis auswirken.Petra J. Huschke</w:t>
      </w:r>
    </w:p>
    <w:p w14:paraId="0B302C25" w14:textId="77777777" w:rsidR="00B125A8" w:rsidRDefault="00EE25F7">
      <w:pPr>
        <w:pStyle w:val="berschrift1"/>
      </w:pPr>
      <w:bookmarkStart w:id="40" w:name="_Toc226531901"/>
      <w:r>
        <w:t>Grüne Oasen in der Stadt</w:t>
      </w:r>
      <w:bookmarkEnd w:id="40"/>
    </w:p>
    <w:p w14:paraId="521A3958" w14:textId="77777777" w:rsidR="00B125A8" w:rsidRDefault="00EE25F7">
      <w:pPr>
        <w:pStyle w:val="Standard-Fett"/>
      </w:pPr>
      <w:r>
        <w:t>75 Jahre Bundesgartenschauen: Impulse für heute und morgen</w:t>
      </w:r>
    </w:p>
    <w:p w14:paraId="5316BDC2" w14:textId="77777777" w:rsidR="00B125A8" w:rsidRDefault="00EE25F7">
      <w:pPr>
        <w:pStyle w:val="Vorspann"/>
      </w:pPr>
      <w:r>
        <w:t>Bundesgartenschauen (BUGA) und Internationale Gartenausstellungen (IGA) machen Städt</w:t>
      </w:r>
      <w:r>
        <w:t>e grüner und erhöhen langfristig die Lebensqualität. In diesem Jahr feiern sie 75-jähriges Bestehen.</w:t>
      </w:r>
    </w:p>
    <w:p w14:paraId="2A7A9EAF" w14:textId="77777777" w:rsidR="00B125A8" w:rsidRDefault="00EE25F7">
      <w:r>
        <w:lastRenderedPageBreak/>
        <w:t>Seit 1951 haben 37 BUGAs und IGAs stattgefunden. Die ersten davon koordinierte der Zentralverband Gartenbau (ZVG). Da die Organisation der Gartenschauen au</w:t>
      </w:r>
      <w:r>
        <w:t>fwendiger wurde, gründeten ZVG, der Bundesverband Garten-, Landschafts- und Sportplatzbau (BGL) und der Bund deutscher Baumschulen  (BdB) im Jahr 1993 die Deutsche Bundesgartenschau-Gesellschaft (DBG), die seither diese Aufgabe übernimmt. „Mit Bundesgarten</w:t>
      </w:r>
      <w:r>
        <w:t>schauen knüpfte man nach dem Zweiten Weltkrieg an eine alte Gartenschau-Tradition in Deutschland an. Der Wunsch nach Wiederaufbau, aber auch nach Blütenfülle und Ästhetik machte das Format, das mit der BUGA Hannover 1951 begann, zum enormen Erfolg“, erklär</w:t>
      </w:r>
      <w:r>
        <w:t xml:space="preserve">t Dr. Achim Schloemer, Geschäftsführer der DBG. </w:t>
      </w:r>
    </w:p>
    <w:p w14:paraId="3D2665EF" w14:textId="77777777" w:rsidR="00B125A8" w:rsidRDefault="00EE25F7">
      <w:pPr>
        <w:pStyle w:val="Zwischentitel"/>
      </w:pPr>
      <w:r>
        <w:t>Nachhaltige Investition</w:t>
      </w:r>
    </w:p>
    <w:p w14:paraId="05214ACF" w14:textId="77777777" w:rsidR="00B125A8" w:rsidRDefault="00EE25F7">
      <w:r>
        <w:t>BUGA und IGA entwickeln Grünanlagen, die dauerhaft bestehen bleiben. Interessierte Kommunen bewerben sich bei der DBG. Diese wählt dann aus, wer die Austragungsorte sind und unterstüt</w:t>
      </w:r>
      <w:r>
        <w:t xml:space="preserve">zt diese fachkundig. „Wir führen bereits Gespräche mit Städten und Verbänden für die 2040er-Jahre“, betont Schloemer und fügt hinzu: „Bundesgartenschauen sind in erster Linie Projekte der Stadt- und Regionalentwicklung. Für Kommunen bieten sie die Chance, </w:t>
      </w:r>
      <w:r>
        <w:t>nachhaltige Investitionen anzustoßen und städtebauliche Entwicklungen in einem festgelegten Zeitraum umzusetzen.“ Der Dortmunder Westfalenpark zum Beispiel ist aus drei Bundesgartenschauen hervorgegangen, und die Rheinaue in Bonn geht auf die BUGA 1979 zur</w:t>
      </w:r>
      <w:r>
        <w:t xml:space="preserve">ück. </w:t>
      </w:r>
    </w:p>
    <w:p w14:paraId="693F9787" w14:textId="77777777" w:rsidR="00B125A8" w:rsidRDefault="00EE25F7">
      <w:r>
        <w:t>Von Anfang an übernimmt der amtierende Bundespräsident die Schirmherrschaft von BUGA und IGA. Deren Aufgaben haben sich laut Schloemer über die Jahrzehnte gewandelt: „Nach der Phase des Wiederaufbaus in der Nachkriegszeit stand die Sanierung und Neua</w:t>
      </w:r>
      <w:r>
        <w:t>nlage von Parks im Mittelpunkt, später kamen Aspekte wie Konversion von Industrie- und Militärflächen hinzu, die ökologische Aufwertung und die Entwicklung von Metropolregionen und Landschaftsräumen.“ Die IGA Ruhrgebiet 2027 soll den Strukturwandel der ges</w:t>
      </w:r>
      <w:r>
        <w:t xml:space="preserve">amten, einst industriell geprägten Region unterstützen, gibt Schloemer schon einen Ausblick auf das nächste große Event. </w:t>
      </w:r>
    </w:p>
    <w:p w14:paraId="47A4F5F3" w14:textId="77777777" w:rsidR="00B125A8" w:rsidRDefault="00EE25F7">
      <w:r>
        <w:t xml:space="preserve">Im Jubiläumsjahr 2026 gibt es leider keine BUGA oder IGA. Denn eine BUGA findet turnusmäßig alle zwei Jahre, eine IGA alle zehn Jahre </w:t>
      </w:r>
      <w:r>
        <w:t>statt. Allerdings haben landesweit vier Landesausstellungen geöffnet (siehe Info-Kasten).  Für diese sind in erster Linie die jeweiligen Bundesländer zuständig.  Petra J. Huschke</w:t>
      </w:r>
    </w:p>
    <w:p w14:paraId="1E7C584D" w14:textId="77777777" w:rsidR="00B125A8" w:rsidRDefault="00EE25F7">
      <w:r>
        <w:t>Info</w:t>
      </w:r>
    </w:p>
    <w:p w14:paraId="23544077" w14:textId="77777777" w:rsidR="00B125A8" w:rsidRDefault="00EE25F7">
      <w:r>
        <w:t>Die BUGA- und IGA-Städte profitieren nicht nur von der rund sechsmonatig</w:t>
      </w:r>
      <w:r>
        <w:t>en Öffnungszeit mit etwa zwei Millionen Besucherinnen und Besuchern, sondern auch langfristig von erhöhter Lebensqualität und Klimaresilienz durch Grün. „Zukunft.Blüht“ ist das Motto des nächsten großen Events, der IGA Ruhrgebiet 2027. Es ist die erste IGA</w:t>
      </w:r>
      <w:r>
        <w:t xml:space="preserve"> in Nordrhein-Westfalen. Sie findet vom 23. April bis 17. Oktober statt. 53 Kommunen und vier Kreise im Ballungsraum nehmen daran teil. Der Plan: Die IGA 2027 im Ruhrgebiet soll zur grünsten Stadtlandschaft der Welt heranwachsen. Auch wenn es in diesem Jah</w:t>
      </w:r>
      <w:r>
        <w:t>r keine BUGA und IGA gibt – es können vier Landesgartenschauen besucht werden: Neuss (NRW) 16. April bis 11. Oktober; Leinefelde-Worbis (Thüringen) 23. April bis 11. Oktober; Ellwangen (Baden-Württemberg) 24. April bis 4. Oktober; Bad Nenndorf (Niedersachs</w:t>
      </w:r>
      <w:r>
        <w:t>en) 29. April bis 18. Oktober. Weitere Informationen im Internet unter:</w:t>
      </w:r>
    </w:p>
    <w:p w14:paraId="7239DB6F" w14:textId="77777777" w:rsidR="00B125A8" w:rsidRDefault="00EE25F7">
      <w:r>
        <w:t xml:space="preserve"> </w:t>
      </w:r>
      <w:hyperlink r:id="rId9">
        <w:r>
          <w:rPr>
            <w:color w:val="0015B7"/>
          </w:rPr>
          <w:t>www.bundesgartenschau.de</w:t>
        </w:r>
      </w:hyperlink>
    </w:p>
    <w:p w14:paraId="30A43918" w14:textId="77777777" w:rsidR="00B125A8" w:rsidRDefault="00EE25F7">
      <w:r>
        <w:lastRenderedPageBreak/>
        <w:t xml:space="preserve"> </w:t>
      </w:r>
      <w:hyperlink r:id="rId10">
        <w:r>
          <w:rPr>
            <w:color w:val="0015B7"/>
          </w:rPr>
          <w:t>www.landesgartenschau-neuss.de</w:t>
        </w:r>
      </w:hyperlink>
    </w:p>
    <w:p w14:paraId="272F2CA8" w14:textId="77777777" w:rsidR="00B125A8" w:rsidRDefault="00EE25F7">
      <w:r>
        <w:t xml:space="preserve"> </w:t>
      </w:r>
      <w:hyperlink r:id="rId11">
        <w:r>
          <w:rPr>
            <w:color w:val="0015B7"/>
          </w:rPr>
          <w:t>www.lgs-leinefelde-worbis.de</w:t>
        </w:r>
      </w:hyperlink>
    </w:p>
    <w:p w14:paraId="57D0E1D3" w14:textId="77777777" w:rsidR="00B125A8" w:rsidRDefault="00EE25F7">
      <w:r>
        <w:t xml:space="preserve"> </w:t>
      </w:r>
      <w:hyperlink r:id="rId12">
        <w:r>
          <w:rPr>
            <w:color w:val="0015B7"/>
          </w:rPr>
          <w:t>www.ellwangen2026.de</w:t>
        </w:r>
      </w:hyperlink>
    </w:p>
    <w:p w14:paraId="03744FB8" w14:textId="77777777" w:rsidR="00B125A8" w:rsidRDefault="00EE25F7">
      <w:r>
        <w:t xml:space="preserve"> </w:t>
      </w:r>
      <w:hyperlink r:id="rId13">
        <w:r>
          <w:rPr>
            <w:color w:val="0015B7"/>
          </w:rPr>
          <w:t>www.laga-badnenndorf.de</w:t>
        </w:r>
      </w:hyperlink>
    </w:p>
    <w:p w14:paraId="2023072F" w14:textId="77777777" w:rsidR="00B125A8" w:rsidRDefault="00EE25F7">
      <w:pPr>
        <w:pStyle w:val="berschrift1"/>
      </w:pPr>
      <w:bookmarkStart w:id="41" w:name="_Toc226531902"/>
      <w:r>
        <w:t>Künstler mit klarer Kante</w:t>
      </w:r>
      <w:bookmarkEnd w:id="41"/>
    </w:p>
    <w:p w14:paraId="7AD75888" w14:textId="77777777" w:rsidR="00B125A8" w:rsidRDefault="00EE25F7">
      <w:pPr>
        <w:pStyle w:val="Standard-Fett"/>
      </w:pPr>
      <w:r>
        <w:t xml:space="preserve"> Herbert Grönemeyer feiert 70. Geburtstag</w:t>
      </w:r>
    </w:p>
    <w:p w14:paraId="326C5E08" w14:textId="77777777" w:rsidR="00B125A8" w:rsidRDefault="00EE25F7">
      <w:pPr>
        <w:pStyle w:val="Vorspann"/>
      </w:pPr>
      <w:r>
        <w:t>Herbert Grönemeyer ist bekannt für seine markante Stimme und seine gefühlvollen Texte. Am 12. April wird der Musiker und Schauspieler 70 Jahre alt.</w:t>
      </w:r>
    </w:p>
    <w:p w14:paraId="02601FDE" w14:textId="77777777" w:rsidR="00B125A8" w:rsidRDefault="00EE25F7">
      <w:r>
        <w:t>Geboren wurde Herbert Arthur Wiglev Clamor Grönemeyer in Göttingen</w:t>
      </w:r>
      <w:r>
        <w:t xml:space="preserve"> als jüngster von drei Brüdern. Als er ein Jahr alt war, zog die Familie nach Bochum. Dort ging er aufs Gymnasium, lernte Klavierspielen und sang im Schulchor. Im Schauspielhaus Bochum verdiente er sich als Pianist sein erstes Geld und komponierte Musikstü</w:t>
      </w:r>
      <w:r>
        <w:t>cke. Nach dem Abitur 1975 schrieb er sich an der Ruhr-Universität Bochum für ein Studium der Musik- und der Rechtswissenschaften ein, studierte aber nur sechs Semester.</w:t>
      </w:r>
    </w:p>
    <w:p w14:paraId="3CB33BA6" w14:textId="77777777" w:rsidR="00B125A8" w:rsidRDefault="00EE25F7">
      <w:r>
        <w:t>Grönemeyers Bühnenkarriere begann am Schauspielhaus Bochum. 1976, im Alter von 20 Jahre</w:t>
      </w:r>
      <w:r>
        <w:t xml:space="preserve">n, übernahm er dort zudem die musikalische Leitung. Ab 1977 war er in mehreren Fernsehproduktionen zu sehen. Sein Durchbruch als Schauspieler gelang ihm 1981 als Leutnant Werner im preisgekrönten Filmepos „Das Boot“ von Wolfgang Petersen. </w:t>
      </w:r>
    </w:p>
    <w:p w14:paraId="43042B65" w14:textId="77777777" w:rsidR="00B125A8" w:rsidRDefault="00EE25F7">
      <w:r>
        <w:t>Anfang der 1980e</w:t>
      </w:r>
      <w:r>
        <w:t>r-Jahre konzentrierte sich Grönemeyer zunehmend auf seine musikalische Karriere. Die ersten vier Alben floppten, eine Tournee wurde mangels Interesse abgesagt. 1984 folgte „4630 Bochum“ mit Hits wie „Flugzeuge im Bauch“, „Männer“ und „Alkohol“. Das Titelli</w:t>
      </w:r>
      <w:r>
        <w:t>ed „Bochum“ ist bis heute die Stadionhymne des Fußball-Zweitligisten VfL Bochum. Seither ist Grönemeyer aus der deutschen Musiklandschaft nicht mehr wegzudenken. Mit mehr als 20,9 Millionen im Inland verkauften Tonträgern ist er der kommerziell erfolgreich</w:t>
      </w:r>
      <w:r>
        <w:t>ste zeitgenössische Musiker im deutschsprachigen Raum.</w:t>
      </w:r>
    </w:p>
    <w:p w14:paraId="1201953D" w14:textId="77777777" w:rsidR="00B125A8" w:rsidRDefault="00EE25F7">
      <w:r>
        <w:t>Grönemeyer ist auch für sein politisches Engagement bekannt. Er bezieht Stellung gegen Rechtsextremismus, Rassismus und fordert soziale Gerechtigkeit, den Zusammenhalt Europas sowie mehr Klimaschutz. D</w:t>
      </w:r>
      <w:r>
        <w:t xml:space="preserve">er dreifache Vater ist nach dem frühen Tod seiner ersten Frau wieder verheiratet und lebt in Berlin. </w:t>
      </w:r>
      <w:r>
        <w:rPr>
          <w:b/>
        </w:rPr>
        <w:t>ali</w:t>
      </w:r>
    </w:p>
    <w:sectPr w:rsidR="00B125A8">
      <w:head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58B6D" w14:textId="77777777" w:rsidR="00F94694" w:rsidRDefault="00F94694" w:rsidP="00F94694">
      <w:pPr>
        <w:spacing w:after="0" w:line="240" w:lineRule="auto"/>
      </w:pPr>
      <w:r>
        <w:separator/>
      </w:r>
    </w:p>
  </w:endnote>
  <w:endnote w:type="continuationSeparator" w:id="0">
    <w:p w14:paraId="2B613E24" w14:textId="77777777"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853D7" w14:textId="77777777" w:rsidR="00F94694" w:rsidRDefault="00F94694" w:rsidP="00F94694">
      <w:pPr>
        <w:spacing w:after="0" w:line="240" w:lineRule="auto"/>
      </w:pPr>
      <w:r>
        <w:separator/>
      </w:r>
    </w:p>
  </w:footnote>
  <w:footnote w:type="continuationSeparator" w:id="0">
    <w:p w14:paraId="417155BC" w14:textId="77777777"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B3C02" w14:textId="77777777" w:rsidR="00FC7E92" w:rsidRDefault="00EE25F7"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t>VdK-Zeitung Gesamt April-2026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14:paraId="7579F782" w14:textId="77777777"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25A8"/>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DBB"/>
    <w:rsid w:val="00EE25F7"/>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93346F"/>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chverband.org" TargetMode="External"/><Relationship Id="rId13" Type="http://schemas.openxmlformats.org/officeDocument/2006/relationships/hyperlink" Target="https://www.laga-badnenndorf.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llwangen2026.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gs-leinefelde-worbis.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andesgartenschau-neuss.de" TargetMode="External"/><Relationship Id="rId4" Type="http://schemas.openxmlformats.org/officeDocument/2006/relationships/settings" Target="settings.xml"/><Relationship Id="rId9" Type="http://schemas.openxmlformats.org/officeDocument/2006/relationships/hyperlink" Target="https://www.bundesgartenschau.de"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66F33-E260-4372-84B9-D2B15FD4A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17022</Words>
  <Characters>112914</Characters>
  <Application>Microsoft Office Word</Application>
  <DocSecurity>0</DocSecurity>
  <Lines>940</Lines>
  <Paragraphs>259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Gesamt April-2026</dc:title>
  <dc:subject/>
  <dc:creator>Sozialverband VdK Deutschland e. V.</dc:creator>
  <cp:keywords/>
  <dc:description/>
  <cp:lastModifiedBy>Christina Liebeck</cp:lastModifiedBy>
  <cp:revision>30</cp:revision>
  <dcterms:created xsi:type="dcterms:W3CDTF">2023-11-21T14:29:00Z</dcterms:created>
  <dcterms:modified xsi:type="dcterms:W3CDTF">2026-04-08T07:11:00Z</dcterms:modified>
</cp:coreProperties>
</file>